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C264A42" w14:textId="77777777" w:rsidR="00A82A5F" w:rsidRDefault="00A82A5F">
      <w:pPr>
        <w:jc w:val="center"/>
        <w:rPr>
          <w:rFonts w:ascii="宋体" w:eastAsia="宋体" w:hAnsi="宋体"/>
          <w:color w:val="000000" w:themeColor="text1"/>
          <w:sz w:val="24"/>
          <w:lang w:val="en-GB"/>
        </w:rPr>
      </w:pPr>
      <w:bookmarkStart w:id="0" w:name="OLE_LINK97"/>
      <w:bookmarkStart w:id="1" w:name="OLE_LINK98"/>
      <w:bookmarkStart w:id="2" w:name="_GoBack"/>
      <w:bookmarkEnd w:id="2"/>
    </w:p>
    <w:p w14:paraId="53FB82E4" w14:textId="77777777" w:rsidR="00A82A5F" w:rsidRDefault="00A82A5F">
      <w:pPr>
        <w:jc w:val="center"/>
        <w:rPr>
          <w:rFonts w:ascii="宋体" w:eastAsia="宋体" w:hAnsi="宋体"/>
          <w:color w:val="000000" w:themeColor="text1"/>
          <w:sz w:val="24"/>
          <w:lang w:val="en-GB"/>
        </w:rPr>
      </w:pPr>
    </w:p>
    <w:p w14:paraId="72D95884" w14:textId="77777777" w:rsidR="00A82A5F" w:rsidRDefault="00A82A5F">
      <w:pPr>
        <w:jc w:val="center"/>
        <w:rPr>
          <w:rFonts w:ascii="宋体" w:eastAsia="宋体" w:hAnsi="宋体"/>
          <w:color w:val="000000" w:themeColor="text1"/>
          <w:sz w:val="24"/>
          <w:lang w:val="en-GB"/>
        </w:rPr>
      </w:pPr>
    </w:p>
    <w:p w14:paraId="1725AB2E" w14:textId="77777777" w:rsidR="00A82A5F" w:rsidRDefault="00A82A5F">
      <w:pPr>
        <w:jc w:val="center"/>
        <w:rPr>
          <w:rFonts w:ascii="宋体" w:eastAsia="宋体" w:hAnsi="宋体"/>
          <w:color w:val="000000" w:themeColor="text1"/>
          <w:sz w:val="24"/>
          <w:lang w:val="en-GB"/>
        </w:rPr>
      </w:pPr>
    </w:p>
    <w:p w14:paraId="1B24B47E" w14:textId="77777777" w:rsidR="00A82A5F" w:rsidRDefault="00A82A5F">
      <w:pPr>
        <w:jc w:val="center"/>
        <w:rPr>
          <w:rFonts w:ascii="宋体" w:eastAsia="宋体" w:hAnsi="宋体"/>
          <w:color w:val="000000" w:themeColor="text1"/>
          <w:sz w:val="24"/>
          <w:lang w:val="en-GB"/>
        </w:rPr>
      </w:pPr>
    </w:p>
    <w:p w14:paraId="6A2D02C3" w14:textId="77777777" w:rsidR="00A82A5F" w:rsidRDefault="00A82A5F">
      <w:pPr>
        <w:jc w:val="center"/>
        <w:rPr>
          <w:rFonts w:ascii="宋体" w:eastAsia="宋体" w:hAnsi="宋体"/>
          <w:color w:val="000000" w:themeColor="text1"/>
          <w:sz w:val="24"/>
          <w:lang w:val="en-GB"/>
        </w:rPr>
      </w:pPr>
    </w:p>
    <w:p w14:paraId="5BCFED7F" w14:textId="77777777" w:rsidR="00A82A5F" w:rsidRDefault="00A82A5F">
      <w:pPr>
        <w:jc w:val="center"/>
        <w:rPr>
          <w:rFonts w:ascii="宋体" w:eastAsia="宋体" w:hAnsi="宋体"/>
          <w:color w:val="000000" w:themeColor="text1"/>
          <w:sz w:val="24"/>
          <w:lang w:val="en-GB"/>
        </w:rPr>
      </w:pPr>
    </w:p>
    <w:p w14:paraId="52D7083D" w14:textId="77777777" w:rsidR="00A82A5F" w:rsidRDefault="00A82A5F">
      <w:pPr>
        <w:jc w:val="center"/>
        <w:rPr>
          <w:rFonts w:ascii="宋体" w:eastAsia="宋体" w:hAnsi="宋体"/>
          <w:color w:val="000000" w:themeColor="text1"/>
          <w:sz w:val="24"/>
          <w:lang w:val="en-GB"/>
        </w:rPr>
      </w:pPr>
    </w:p>
    <w:p w14:paraId="1E63E39B" w14:textId="77777777" w:rsidR="00A82A5F" w:rsidRDefault="00A82A5F">
      <w:pPr>
        <w:jc w:val="center"/>
        <w:rPr>
          <w:rFonts w:ascii="宋体" w:eastAsia="宋体" w:hAnsi="宋体"/>
          <w:color w:val="000000" w:themeColor="text1"/>
          <w:sz w:val="24"/>
          <w:lang w:val="en-GB"/>
        </w:rPr>
      </w:pPr>
    </w:p>
    <w:p w14:paraId="791F63CF" w14:textId="77777777" w:rsidR="00A82A5F" w:rsidRDefault="00A82A5F">
      <w:pPr>
        <w:jc w:val="center"/>
        <w:rPr>
          <w:rFonts w:ascii="宋体" w:eastAsia="宋体" w:hAnsi="宋体"/>
          <w:color w:val="000000" w:themeColor="text1"/>
          <w:sz w:val="24"/>
          <w:lang w:val="en-GB"/>
        </w:rPr>
      </w:pPr>
    </w:p>
    <w:p w14:paraId="4444E65F" w14:textId="77777777" w:rsidR="00A82A5F" w:rsidRDefault="00A82A5F">
      <w:pPr>
        <w:jc w:val="center"/>
        <w:rPr>
          <w:rFonts w:ascii="宋体" w:eastAsia="宋体" w:hAnsi="宋体"/>
          <w:color w:val="000000" w:themeColor="text1"/>
          <w:sz w:val="24"/>
          <w:lang w:val="en-GB"/>
        </w:rPr>
      </w:pPr>
    </w:p>
    <w:p w14:paraId="06CED3F1" w14:textId="77777777" w:rsidR="00A82A5F" w:rsidRDefault="003122C7">
      <w:pPr>
        <w:adjustRightInd w:val="0"/>
        <w:snapToGrid w:val="0"/>
        <w:jc w:val="center"/>
        <w:rPr>
          <w:rFonts w:ascii="彩虹粗仿宋" w:eastAsia="彩虹粗仿宋" w:hAnsi="宋体" w:cs="Arial"/>
          <w:b/>
          <w:color w:val="000000" w:themeColor="text1"/>
          <w:sz w:val="44"/>
          <w:szCs w:val="24"/>
        </w:rPr>
      </w:pPr>
      <w:r>
        <w:rPr>
          <w:rFonts w:ascii="彩虹粗仿宋" w:eastAsia="彩虹粗仿宋" w:hAnsi="宋体" w:cs="Arial" w:hint="eastAsia"/>
          <w:b/>
          <w:color w:val="000000" w:themeColor="text1"/>
          <w:sz w:val="44"/>
          <w:szCs w:val="24"/>
        </w:rPr>
        <w:t>万家元和债券型证券投资基金</w:t>
      </w:r>
    </w:p>
    <w:p w14:paraId="0D5508C4" w14:textId="792510BD" w:rsidR="00A82A5F" w:rsidRDefault="003122C7">
      <w:pPr>
        <w:adjustRightInd w:val="0"/>
        <w:snapToGrid w:val="0"/>
        <w:jc w:val="center"/>
        <w:rPr>
          <w:rFonts w:ascii="彩虹粗仿宋" w:eastAsia="彩虹粗仿宋" w:hAnsi="宋体" w:cs="Arial"/>
          <w:b/>
          <w:color w:val="000000" w:themeColor="text1"/>
          <w:sz w:val="44"/>
          <w:szCs w:val="24"/>
        </w:rPr>
      </w:pPr>
      <w:r>
        <w:rPr>
          <w:rFonts w:ascii="彩虹粗仿宋" w:eastAsia="彩虹粗仿宋" w:hAnsi="宋体" w:cs="Arial" w:hint="eastAsia"/>
          <w:b/>
          <w:color w:val="000000" w:themeColor="text1"/>
          <w:sz w:val="44"/>
          <w:szCs w:val="24"/>
        </w:rPr>
        <w:t>托管协议</w:t>
      </w:r>
    </w:p>
    <w:p w14:paraId="123DEFE4" w14:textId="77777777" w:rsidR="00A82A5F" w:rsidRDefault="00A82A5F">
      <w:pPr>
        <w:jc w:val="center"/>
        <w:rPr>
          <w:rFonts w:ascii="宋体" w:eastAsia="宋体" w:hAnsi="宋体"/>
          <w:color w:val="000000" w:themeColor="text1"/>
          <w:sz w:val="24"/>
          <w:lang w:val="en-GB"/>
        </w:rPr>
      </w:pPr>
    </w:p>
    <w:p w14:paraId="6D28C981" w14:textId="77777777" w:rsidR="00A82A5F" w:rsidRDefault="00A82A5F">
      <w:pPr>
        <w:jc w:val="center"/>
        <w:rPr>
          <w:rFonts w:ascii="宋体" w:eastAsia="宋体" w:hAnsi="宋体"/>
          <w:color w:val="000000" w:themeColor="text1"/>
          <w:sz w:val="24"/>
          <w:lang w:val="en-GB"/>
        </w:rPr>
      </w:pPr>
    </w:p>
    <w:p w14:paraId="7C31021E" w14:textId="77777777" w:rsidR="00A82A5F" w:rsidRDefault="00A82A5F">
      <w:pPr>
        <w:jc w:val="center"/>
        <w:rPr>
          <w:rFonts w:ascii="宋体" w:eastAsia="宋体" w:hAnsi="宋体"/>
          <w:color w:val="000000" w:themeColor="text1"/>
          <w:sz w:val="24"/>
          <w:lang w:val="en-GB"/>
        </w:rPr>
      </w:pPr>
    </w:p>
    <w:p w14:paraId="7F2B3BF2" w14:textId="77777777" w:rsidR="00A82A5F" w:rsidRDefault="00A82A5F">
      <w:pPr>
        <w:jc w:val="center"/>
        <w:rPr>
          <w:rFonts w:ascii="宋体" w:eastAsia="宋体" w:hAnsi="宋体"/>
          <w:color w:val="000000" w:themeColor="text1"/>
          <w:sz w:val="24"/>
          <w:lang w:val="en-GB"/>
        </w:rPr>
      </w:pPr>
    </w:p>
    <w:p w14:paraId="38A7A747" w14:textId="77777777" w:rsidR="00A82A5F" w:rsidRDefault="00A82A5F">
      <w:pPr>
        <w:jc w:val="center"/>
        <w:rPr>
          <w:rFonts w:ascii="宋体" w:eastAsia="宋体" w:hAnsi="宋体"/>
          <w:color w:val="000000" w:themeColor="text1"/>
          <w:sz w:val="24"/>
          <w:lang w:val="en-GB"/>
        </w:rPr>
      </w:pPr>
    </w:p>
    <w:p w14:paraId="12C92C15" w14:textId="77777777" w:rsidR="00A82A5F" w:rsidRDefault="00A82A5F">
      <w:pPr>
        <w:jc w:val="center"/>
        <w:rPr>
          <w:rFonts w:ascii="宋体" w:eastAsia="宋体" w:hAnsi="宋体"/>
          <w:color w:val="000000" w:themeColor="text1"/>
          <w:sz w:val="24"/>
          <w:lang w:val="en-GB"/>
        </w:rPr>
      </w:pPr>
    </w:p>
    <w:p w14:paraId="4AACDA93" w14:textId="77777777" w:rsidR="00A82A5F" w:rsidRDefault="00A82A5F">
      <w:pPr>
        <w:jc w:val="center"/>
        <w:rPr>
          <w:rFonts w:ascii="宋体" w:eastAsia="宋体" w:hAnsi="宋体"/>
          <w:color w:val="000000" w:themeColor="text1"/>
          <w:sz w:val="24"/>
          <w:lang w:val="en-GB"/>
        </w:rPr>
      </w:pPr>
    </w:p>
    <w:p w14:paraId="597A745D" w14:textId="77777777" w:rsidR="00A82A5F" w:rsidRDefault="00A82A5F">
      <w:pPr>
        <w:jc w:val="center"/>
        <w:rPr>
          <w:rFonts w:ascii="宋体" w:eastAsia="宋体" w:hAnsi="宋体"/>
          <w:color w:val="000000" w:themeColor="text1"/>
          <w:sz w:val="24"/>
          <w:lang w:val="en-GB"/>
        </w:rPr>
      </w:pPr>
    </w:p>
    <w:p w14:paraId="54123426" w14:textId="77777777" w:rsidR="00A82A5F" w:rsidRDefault="00A82A5F">
      <w:pPr>
        <w:jc w:val="center"/>
        <w:rPr>
          <w:rFonts w:ascii="宋体" w:eastAsia="宋体" w:hAnsi="宋体"/>
          <w:color w:val="000000" w:themeColor="text1"/>
          <w:sz w:val="24"/>
          <w:lang w:val="en-GB"/>
        </w:rPr>
      </w:pPr>
    </w:p>
    <w:p w14:paraId="29960F5D" w14:textId="77777777" w:rsidR="00A82A5F" w:rsidRDefault="00A82A5F">
      <w:pPr>
        <w:jc w:val="center"/>
        <w:rPr>
          <w:rFonts w:ascii="宋体" w:eastAsia="宋体" w:hAnsi="宋体"/>
          <w:color w:val="000000" w:themeColor="text1"/>
          <w:sz w:val="24"/>
          <w:lang w:val="en-GB"/>
        </w:rPr>
      </w:pPr>
    </w:p>
    <w:p w14:paraId="0C30B43B" w14:textId="77777777" w:rsidR="00A82A5F" w:rsidRDefault="00A82A5F">
      <w:pPr>
        <w:jc w:val="center"/>
        <w:rPr>
          <w:rFonts w:ascii="宋体" w:eastAsia="宋体" w:hAnsi="宋体"/>
          <w:color w:val="000000" w:themeColor="text1"/>
          <w:sz w:val="24"/>
          <w:lang w:val="en-GB"/>
        </w:rPr>
      </w:pPr>
    </w:p>
    <w:p w14:paraId="19F97672" w14:textId="77777777" w:rsidR="00A82A5F" w:rsidRDefault="00A82A5F">
      <w:pPr>
        <w:jc w:val="center"/>
        <w:rPr>
          <w:rFonts w:ascii="宋体" w:eastAsia="宋体" w:hAnsi="宋体"/>
          <w:color w:val="000000" w:themeColor="text1"/>
          <w:sz w:val="24"/>
          <w:lang w:val="en-GB"/>
        </w:rPr>
      </w:pPr>
    </w:p>
    <w:p w14:paraId="2420DE99" w14:textId="77777777" w:rsidR="00A82A5F" w:rsidRDefault="00A82A5F">
      <w:pPr>
        <w:jc w:val="center"/>
        <w:rPr>
          <w:rFonts w:ascii="宋体" w:eastAsia="宋体" w:hAnsi="宋体"/>
          <w:color w:val="000000" w:themeColor="text1"/>
          <w:sz w:val="24"/>
          <w:lang w:val="en-GB"/>
        </w:rPr>
      </w:pPr>
    </w:p>
    <w:p w14:paraId="08BF2195" w14:textId="77777777" w:rsidR="00A82A5F" w:rsidRDefault="00A82A5F">
      <w:pPr>
        <w:jc w:val="center"/>
        <w:rPr>
          <w:rFonts w:ascii="宋体" w:eastAsia="宋体" w:hAnsi="宋体"/>
          <w:color w:val="000000" w:themeColor="text1"/>
          <w:sz w:val="24"/>
          <w:lang w:val="en-GB"/>
        </w:rPr>
      </w:pPr>
    </w:p>
    <w:p w14:paraId="2ABAC437" w14:textId="77777777" w:rsidR="00A82A5F" w:rsidRDefault="00A82A5F">
      <w:pPr>
        <w:jc w:val="center"/>
        <w:rPr>
          <w:rFonts w:ascii="宋体" w:eastAsia="宋体" w:hAnsi="宋体"/>
          <w:color w:val="000000" w:themeColor="text1"/>
          <w:sz w:val="24"/>
          <w:lang w:val="en-GB"/>
        </w:rPr>
      </w:pPr>
    </w:p>
    <w:p w14:paraId="644A150A" w14:textId="77777777" w:rsidR="00A82A5F" w:rsidRDefault="003122C7">
      <w:pPr>
        <w:adjustRightInd w:val="0"/>
        <w:snapToGrid w:val="0"/>
        <w:jc w:val="center"/>
        <w:rPr>
          <w:rFonts w:ascii="彩虹粗仿宋" w:eastAsia="彩虹粗仿宋" w:hAnsi="宋体" w:cs="Arial"/>
          <w:b/>
          <w:color w:val="000000" w:themeColor="text1"/>
          <w:sz w:val="28"/>
          <w:szCs w:val="28"/>
        </w:rPr>
      </w:pPr>
      <w:r>
        <w:rPr>
          <w:rFonts w:ascii="彩虹粗仿宋" w:eastAsia="彩虹粗仿宋" w:hAnsi="宋体" w:cs="Arial" w:hint="eastAsia"/>
          <w:b/>
          <w:color w:val="000000" w:themeColor="text1"/>
          <w:sz w:val="28"/>
          <w:szCs w:val="28"/>
        </w:rPr>
        <w:t>基金管理人：万家基金管理有限公司</w:t>
      </w:r>
    </w:p>
    <w:p w14:paraId="09160018" w14:textId="77777777" w:rsidR="00A82A5F" w:rsidRDefault="003122C7">
      <w:pPr>
        <w:adjustRightInd w:val="0"/>
        <w:snapToGrid w:val="0"/>
        <w:jc w:val="center"/>
        <w:rPr>
          <w:rFonts w:ascii="彩虹粗仿宋" w:eastAsia="彩虹粗仿宋" w:hAnsi="宋体" w:cs="Arial"/>
          <w:b/>
          <w:color w:val="000000" w:themeColor="text1"/>
          <w:sz w:val="28"/>
          <w:szCs w:val="28"/>
        </w:rPr>
      </w:pPr>
      <w:r>
        <w:rPr>
          <w:rFonts w:ascii="彩虹粗仿宋" w:eastAsia="彩虹粗仿宋" w:hAnsi="宋体" w:cs="Arial" w:hint="eastAsia"/>
          <w:b/>
          <w:color w:val="000000" w:themeColor="text1"/>
          <w:sz w:val="28"/>
          <w:szCs w:val="28"/>
        </w:rPr>
        <w:t>基金托管人：中国建设银行股份有限公司</w:t>
      </w:r>
    </w:p>
    <w:p w14:paraId="2C0E5BEE" w14:textId="77777777" w:rsidR="00A82A5F" w:rsidRDefault="00A82A5F">
      <w:pPr>
        <w:jc w:val="center"/>
        <w:rPr>
          <w:rFonts w:ascii="宋体" w:eastAsia="宋体" w:hAnsi="宋体"/>
          <w:color w:val="000000" w:themeColor="text1"/>
          <w:sz w:val="24"/>
          <w:lang w:val="en-GB"/>
        </w:rPr>
      </w:pPr>
    </w:p>
    <w:p w14:paraId="37CB9329" w14:textId="77777777" w:rsidR="00A82A5F" w:rsidRDefault="00A82A5F">
      <w:pPr>
        <w:jc w:val="center"/>
        <w:rPr>
          <w:rFonts w:ascii="宋体" w:eastAsia="宋体" w:hAnsi="宋体"/>
          <w:color w:val="000000" w:themeColor="text1"/>
          <w:sz w:val="24"/>
          <w:lang w:val="en-GB"/>
        </w:rPr>
      </w:pPr>
    </w:p>
    <w:p w14:paraId="17D94D03" w14:textId="77777777" w:rsidR="00A82A5F" w:rsidRDefault="00A82A5F">
      <w:pPr>
        <w:jc w:val="center"/>
        <w:rPr>
          <w:rFonts w:ascii="宋体" w:eastAsia="宋体" w:hAnsi="宋体"/>
          <w:color w:val="000000" w:themeColor="text1"/>
          <w:sz w:val="24"/>
          <w:lang w:val="en-GB"/>
        </w:rPr>
      </w:pPr>
    </w:p>
    <w:p w14:paraId="03C9E475" w14:textId="77777777" w:rsidR="00A82A5F" w:rsidRDefault="00A82A5F">
      <w:pPr>
        <w:jc w:val="center"/>
        <w:rPr>
          <w:rFonts w:ascii="宋体" w:eastAsia="宋体" w:hAnsi="宋体"/>
          <w:color w:val="000000" w:themeColor="text1"/>
          <w:sz w:val="24"/>
          <w:lang w:val="en-GB"/>
        </w:rPr>
      </w:pPr>
    </w:p>
    <w:p w14:paraId="066C19A6" w14:textId="1E615841" w:rsidR="00A82A5F" w:rsidRDefault="003122C7">
      <w:pPr>
        <w:adjustRightInd w:val="0"/>
        <w:snapToGrid w:val="0"/>
        <w:jc w:val="center"/>
        <w:rPr>
          <w:rFonts w:ascii="彩虹粗仿宋" w:eastAsia="彩虹粗仿宋" w:hAnsi="宋体" w:cs="Arial"/>
          <w:color w:val="000000" w:themeColor="text1"/>
          <w:sz w:val="24"/>
          <w:szCs w:val="24"/>
        </w:rPr>
      </w:pPr>
      <w:r>
        <w:rPr>
          <w:rFonts w:ascii="彩虹粗仿宋" w:eastAsia="彩虹粗仿宋" w:hAnsi="宋体" w:cs="Arial" w:hint="eastAsia"/>
          <w:color w:val="000000" w:themeColor="text1"/>
          <w:sz w:val="24"/>
          <w:szCs w:val="24"/>
        </w:rPr>
        <w:t>二零二六年</w:t>
      </w:r>
      <w:r w:rsidR="001169CC">
        <w:rPr>
          <w:rFonts w:ascii="彩虹粗仿宋" w:eastAsia="彩虹粗仿宋" w:hAnsi="宋体" w:cs="Arial" w:hint="eastAsia"/>
          <w:color w:val="000000" w:themeColor="text1"/>
          <w:sz w:val="24"/>
          <w:szCs w:val="24"/>
        </w:rPr>
        <w:t>六</w:t>
      </w:r>
      <w:r>
        <w:rPr>
          <w:rFonts w:ascii="彩虹粗仿宋" w:eastAsia="彩虹粗仿宋" w:hAnsi="宋体" w:cs="Arial" w:hint="eastAsia"/>
          <w:color w:val="000000" w:themeColor="text1"/>
          <w:sz w:val="24"/>
          <w:szCs w:val="24"/>
        </w:rPr>
        <w:t>月</w:t>
      </w:r>
    </w:p>
    <w:p w14:paraId="54D9CAEF" w14:textId="77777777" w:rsidR="00A82A5F" w:rsidRDefault="00A82A5F">
      <w:pPr>
        <w:jc w:val="center"/>
        <w:rPr>
          <w:rFonts w:ascii="宋体" w:eastAsia="宋体" w:hAnsi="宋体"/>
          <w:color w:val="000000" w:themeColor="text1"/>
          <w:sz w:val="24"/>
          <w:lang w:val="en-GB"/>
        </w:rPr>
      </w:pPr>
    </w:p>
    <w:p w14:paraId="0E539A57" w14:textId="77777777" w:rsidR="00A82A5F" w:rsidRDefault="003122C7">
      <w:pPr>
        <w:widowControl/>
        <w:jc w:val="left"/>
        <w:rPr>
          <w:rFonts w:ascii="宋体" w:eastAsia="宋体" w:hAnsi="宋体"/>
          <w:b/>
          <w:bCs/>
          <w:color w:val="000000" w:themeColor="text1"/>
          <w:sz w:val="30"/>
        </w:rPr>
      </w:pPr>
      <w:r>
        <w:rPr>
          <w:rFonts w:ascii="宋体" w:eastAsia="宋体" w:hAnsi="宋体"/>
          <w:b/>
          <w:bCs/>
          <w:color w:val="000000" w:themeColor="text1"/>
          <w:sz w:val="30"/>
        </w:rPr>
        <w:br w:type="page"/>
      </w:r>
    </w:p>
    <w:p w14:paraId="2CE990E7" w14:textId="77777777" w:rsidR="00A82A5F" w:rsidRDefault="003122C7">
      <w:pPr>
        <w:jc w:val="center"/>
        <w:rPr>
          <w:rFonts w:ascii="彩虹粗仿宋" w:eastAsia="彩虹粗仿宋" w:hAnsi="Times New Roman" w:cs="Times New Roman"/>
          <w:b/>
          <w:bCs/>
          <w:color w:val="000000" w:themeColor="text1"/>
          <w:sz w:val="30"/>
          <w:szCs w:val="24"/>
        </w:rPr>
      </w:pPr>
      <w:r>
        <w:rPr>
          <w:rFonts w:ascii="彩虹粗仿宋" w:eastAsia="彩虹粗仿宋" w:hAnsi="Times New Roman" w:cs="Times New Roman" w:hint="eastAsia"/>
          <w:b/>
          <w:bCs/>
          <w:color w:val="000000" w:themeColor="text1"/>
          <w:sz w:val="30"/>
          <w:szCs w:val="24"/>
        </w:rPr>
        <w:lastRenderedPageBreak/>
        <w:t>目    录</w:t>
      </w:r>
    </w:p>
    <w:p w14:paraId="1768A85D" w14:textId="2C183668" w:rsidR="00A82A5F" w:rsidRDefault="003122C7">
      <w:pPr>
        <w:pStyle w:val="23"/>
        <w:ind w:leftChars="0" w:left="0"/>
        <w:rPr>
          <w:rStyle w:val="af5"/>
          <w:rFonts w:ascii="彩虹粗仿宋" w:eastAsia="彩虹粗仿宋"/>
          <w:noProof/>
          <w:color w:val="000000" w:themeColor="text1"/>
          <w:sz w:val="28"/>
          <w:szCs w:val="32"/>
        </w:rPr>
      </w:pPr>
      <w:r>
        <w:rPr>
          <w:rStyle w:val="af5"/>
          <w:rFonts w:ascii="彩虹粗仿宋" w:eastAsia="彩虹粗仿宋" w:hint="eastAsia"/>
          <w:color w:val="000000" w:themeColor="text1"/>
          <w:sz w:val="28"/>
          <w:szCs w:val="32"/>
        </w:rPr>
        <w:fldChar w:fldCharType="begin"/>
      </w:r>
      <w:r>
        <w:rPr>
          <w:rStyle w:val="af5"/>
          <w:rFonts w:ascii="彩虹粗仿宋" w:eastAsia="彩虹粗仿宋" w:hint="eastAsia"/>
          <w:color w:val="000000" w:themeColor="text1"/>
          <w:sz w:val="28"/>
          <w:szCs w:val="32"/>
        </w:rPr>
        <w:instrText xml:space="preserve"> TOC \o "1-2" \h \z </w:instrText>
      </w:r>
      <w:r>
        <w:rPr>
          <w:rStyle w:val="af5"/>
          <w:rFonts w:ascii="彩虹粗仿宋" w:eastAsia="彩虹粗仿宋" w:hint="eastAsia"/>
          <w:color w:val="000000" w:themeColor="text1"/>
          <w:sz w:val="28"/>
          <w:szCs w:val="32"/>
        </w:rPr>
        <w:fldChar w:fldCharType="separate"/>
      </w:r>
      <w:hyperlink w:anchor="_Toc124325885" w:history="1">
        <w:r>
          <w:rPr>
            <w:rStyle w:val="af5"/>
            <w:rFonts w:ascii="彩虹粗仿宋" w:eastAsia="彩虹粗仿宋" w:hAnsi="宋体" w:hint="eastAsia"/>
            <w:noProof/>
            <w:color w:val="000000" w:themeColor="text1"/>
            <w:sz w:val="28"/>
            <w:szCs w:val="32"/>
          </w:rPr>
          <w:t>一、基金托管协议当事人</w:t>
        </w:r>
        <w:r>
          <w:rPr>
            <w:rStyle w:val="af5"/>
            <w:rFonts w:ascii="彩虹粗仿宋" w:eastAsia="彩虹粗仿宋" w:hint="eastAsia"/>
            <w:noProof/>
            <w:color w:val="000000" w:themeColor="text1"/>
            <w:sz w:val="28"/>
            <w:szCs w:val="32"/>
          </w:rPr>
          <w:tab/>
        </w:r>
        <w:r>
          <w:rPr>
            <w:rStyle w:val="af5"/>
            <w:rFonts w:ascii="彩虹粗仿宋" w:eastAsia="彩虹粗仿宋" w:hint="eastAsia"/>
            <w:noProof/>
            <w:color w:val="000000" w:themeColor="text1"/>
            <w:sz w:val="28"/>
            <w:szCs w:val="32"/>
          </w:rPr>
          <w:fldChar w:fldCharType="begin"/>
        </w:r>
        <w:r>
          <w:rPr>
            <w:rStyle w:val="af5"/>
            <w:rFonts w:ascii="彩虹粗仿宋" w:eastAsia="彩虹粗仿宋" w:hint="eastAsia"/>
            <w:noProof/>
            <w:color w:val="000000" w:themeColor="text1"/>
            <w:sz w:val="28"/>
            <w:szCs w:val="32"/>
          </w:rPr>
          <w:instrText xml:space="preserve"> PAGEREF _Toc124325885 \h </w:instrText>
        </w:r>
        <w:r>
          <w:rPr>
            <w:rStyle w:val="af5"/>
            <w:rFonts w:ascii="彩虹粗仿宋" w:eastAsia="彩虹粗仿宋" w:hint="eastAsia"/>
            <w:noProof/>
            <w:color w:val="000000" w:themeColor="text1"/>
            <w:sz w:val="28"/>
            <w:szCs w:val="32"/>
          </w:rPr>
        </w:r>
        <w:r>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1</w:t>
        </w:r>
        <w:r>
          <w:rPr>
            <w:rStyle w:val="af5"/>
            <w:rFonts w:ascii="彩虹粗仿宋" w:eastAsia="彩虹粗仿宋" w:hint="eastAsia"/>
            <w:noProof/>
            <w:color w:val="000000" w:themeColor="text1"/>
            <w:sz w:val="28"/>
            <w:szCs w:val="32"/>
          </w:rPr>
          <w:fldChar w:fldCharType="end"/>
        </w:r>
      </w:hyperlink>
    </w:p>
    <w:p w14:paraId="250FC557" w14:textId="71417311" w:rsidR="00A82A5F" w:rsidRDefault="00BC04E3">
      <w:pPr>
        <w:pStyle w:val="23"/>
        <w:ind w:leftChars="0" w:left="0"/>
        <w:rPr>
          <w:rStyle w:val="af5"/>
          <w:rFonts w:ascii="彩虹粗仿宋" w:eastAsia="彩虹粗仿宋"/>
          <w:noProof/>
          <w:color w:val="000000" w:themeColor="text1"/>
          <w:sz w:val="28"/>
          <w:szCs w:val="32"/>
        </w:rPr>
      </w:pPr>
      <w:hyperlink w:anchor="_Toc124325886" w:history="1">
        <w:r w:rsidR="003122C7">
          <w:rPr>
            <w:rStyle w:val="af5"/>
            <w:rFonts w:ascii="彩虹粗仿宋" w:eastAsia="彩虹粗仿宋" w:hAnsi="宋体" w:hint="eastAsia"/>
            <w:noProof/>
            <w:color w:val="000000" w:themeColor="text1"/>
            <w:sz w:val="28"/>
            <w:szCs w:val="32"/>
          </w:rPr>
          <w:t>二、基金托管协议的依据、目的和原则</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_Toc124325886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2</w:t>
        </w:r>
        <w:r w:rsidR="003122C7">
          <w:rPr>
            <w:rStyle w:val="af5"/>
            <w:rFonts w:ascii="彩虹粗仿宋" w:eastAsia="彩虹粗仿宋" w:hint="eastAsia"/>
            <w:noProof/>
            <w:color w:val="000000" w:themeColor="text1"/>
            <w:sz w:val="28"/>
            <w:szCs w:val="32"/>
          </w:rPr>
          <w:fldChar w:fldCharType="end"/>
        </w:r>
      </w:hyperlink>
    </w:p>
    <w:p w14:paraId="69124E01" w14:textId="48273554" w:rsidR="00A82A5F" w:rsidRDefault="00BC04E3">
      <w:pPr>
        <w:pStyle w:val="23"/>
        <w:ind w:leftChars="0" w:left="0"/>
        <w:rPr>
          <w:rStyle w:val="af5"/>
          <w:rFonts w:ascii="彩虹粗仿宋" w:eastAsia="彩虹粗仿宋"/>
          <w:noProof/>
          <w:color w:val="000000" w:themeColor="text1"/>
          <w:sz w:val="28"/>
          <w:szCs w:val="32"/>
        </w:rPr>
      </w:pPr>
      <w:hyperlink w:anchor="_Toc124325887" w:history="1">
        <w:r w:rsidR="003122C7">
          <w:rPr>
            <w:rStyle w:val="af5"/>
            <w:rFonts w:ascii="彩虹粗仿宋" w:eastAsia="彩虹粗仿宋" w:hAnsi="宋体" w:hint="eastAsia"/>
            <w:noProof/>
            <w:color w:val="000000" w:themeColor="text1"/>
            <w:sz w:val="28"/>
            <w:szCs w:val="32"/>
          </w:rPr>
          <w:t>三、基金托管人对基金管理人的业务监督和核查</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_Toc124325887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w:t>
        </w:r>
        <w:r w:rsidR="003122C7">
          <w:rPr>
            <w:rStyle w:val="af5"/>
            <w:rFonts w:ascii="彩虹粗仿宋" w:eastAsia="彩虹粗仿宋" w:hint="eastAsia"/>
            <w:noProof/>
            <w:color w:val="000000" w:themeColor="text1"/>
            <w:sz w:val="28"/>
            <w:szCs w:val="32"/>
          </w:rPr>
          <w:fldChar w:fldCharType="end"/>
        </w:r>
      </w:hyperlink>
    </w:p>
    <w:p w14:paraId="7E476D6D" w14:textId="5FF2A9EF" w:rsidR="00A82A5F" w:rsidRDefault="00BC04E3">
      <w:pPr>
        <w:pStyle w:val="23"/>
        <w:ind w:leftChars="0" w:left="0"/>
        <w:rPr>
          <w:rStyle w:val="af5"/>
          <w:rFonts w:ascii="彩虹粗仿宋" w:eastAsia="彩虹粗仿宋"/>
          <w:noProof/>
          <w:color w:val="000000" w:themeColor="text1"/>
          <w:sz w:val="28"/>
          <w:szCs w:val="32"/>
        </w:rPr>
      </w:pPr>
      <w:hyperlink w:anchor="_Toc124325888" w:history="1">
        <w:r w:rsidR="003122C7">
          <w:rPr>
            <w:rStyle w:val="af5"/>
            <w:rFonts w:ascii="彩虹粗仿宋" w:eastAsia="彩虹粗仿宋" w:hAnsi="宋体" w:hint="eastAsia"/>
            <w:noProof/>
            <w:color w:val="000000" w:themeColor="text1"/>
            <w:sz w:val="28"/>
            <w:szCs w:val="32"/>
          </w:rPr>
          <w:t>四、基金管理人对基金托管人的业务核查</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_Toc124325888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8</w:t>
        </w:r>
        <w:r w:rsidR="003122C7">
          <w:rPr>
            <w:rStyle w:val="af5"/>
            <w:rFonts w:ascii="彩虹粗仿宋" w:eastAsia="彩虹粗仿宋" w:hint="eastAsia"/>
            <w:noProof/>
            <w:color w:val="000000" w:themeColor="text1"/>
            <w:sz w:val="28"/>
            <w:szCs w:val="32"/>
          </w:rPr>
          <w:fldChar w:fldCharType="end"/>
        </w:r>
      </w:hyperlink>
    </w:p>
    <w:p w14:paraId="153DF279" w14:textId="49A36FB0" w:rsidR="00A82A5F" w:rsidRDefault="00BC04E3">
      <w:pPr>
        <w:pStyle w:val="23"/>
        <w:ind w:leftChars="0" w:left="0"/>
        <w:rPr>
          <w:rStyle w:val="af5"/>
          <w:rFonts w:ascii="彩虹粗仿宋" w:eastAsia="彩虹粗仿宋"/>
          <w:noProof/>
          <w:color w:val="000000" w:themeColor="text1"/>
          <w:sz w:val="28"/>
          <w:szCs w:val="32"/>
        </w:rPr>
      </w:pPr>
      <w:hyperlink w:anchor="_Toc124325889" w:history="1">
        <w:r w:rsidR="003122C7">
          <w:rPr>
            <w:rStyle w:val="af5"/>
            <w:rFonts w:ascii="彩虹粗仿宋" w:eastAsia="彩虹粗仿宋" w:hAnsi="宋体" w:hint="eastAsia"/>
            <w:noProof/>
            <w:color w:val="000000" w:themeColor="text1"/>
            <w:sz w:val="28"/>
            <w:szCs w:val="32"/>
          </w:rPr>
          <w:t>五、基金财产的保管</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_Toc124325889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9</w:t>
        </w:r>
        <w:r w:rsidR="003122C7">
          <w:rPr>
            <w:rStyle w:val="af5"/>
            <w:rFonts w:ascii="彩虹粗仿宋" w:eastAsia="彩虹粗仿宋" w:hint="eastAsia"/>
            <w:noProof/>
            <w:color w:val="000000" w:themeColor="text1"/>
            <w:sz w:val="28"/>
            <w:szCs w:val="32"/>
          </w:rPr>
          <w:fldChar w:fldCharType="end"/>
        </w:r>
      </w:hyperlink>
    </w:p>
    <w:p w14:paraId="048BD9D0" w14:textId="14AA110A" w:rsidR="00A82A5F" w:rsidRDefault="00BC04E3">
      <w:pPr>
        <w:pStyle w:val="23"/>
        <w:ind w:leftChars="0" w:left="0"/>
        <w:rPr>
          <w:rStyle w:val="af5"/>
          <w:rFonts w:ascii="彩虹粗仿宋" w:eastAsia="彩虹粗仿宋"/>
          <w:noProof/>
          <w:color w:val="000000" w:themeColor="text1"/>
          <w:sz w:val="28"/>
          <w:szCs w:val="32"/>
        </w:rPr>
      </w:pPr>
      <w:hyperlink w:anchor="_Toc124325890" w:history="1">
        <w:r w:rsidR="003122C7">
          <w:rPr>
            <w:rStyle w:val="af5"/>
            <w:rFonts w:ascii="彩虹粗仿宋" w:eastAsia="彩虹粗仿宋" w:hAnsi="宋体" w:hint="eastAsia"/>
            <w:noProof/>
            <w:color w:val="000000" w:themeColor="text1"/>
            <w:sz w:val="28"/>
            <w:szCs w:val="32"/>
          </w:rPr>
          <w:t>六、指令的发送、确认及执行</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_Toc124325890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12</w:t>
        </w:r>
        <w:r w:rsidR="003122C7">
          <w:rPr>
            <w:rStyle w:val="af5"/>
            <w:rFonts w:ascii="彩虹粗仿宋" w:eastAsia="彩虹粗仿宋" w:hint="eastAsia"/>
            <w:noProof/>
            <w:color w:val="000000" w:themeColor="text1"/>
            <w:sz w:val="28"/>
            <w:szCs w:val="32"/>
          </w:rPr>
          <w:fldChar w:fldCharType="end"/>
        </w:r>
      </w:hyperlink>
    </w:p>
    <w:p w14:paraId="042FA97A" w14:textId="02D718BA" w:rsidR="00A82A5F" w:rsidRDefault="00BC04E3">
      <w:pPr>
        <w:pStyle w:val="23"/>
        <w:ind w:leftChars="0" w:left="0"/>
        <w:rPr>
          <w:rStyle w:val="af5"/>
          <w:rFonts w:ascii="彩虹粗仿宋" w:eastAsia="彩虹粗仿宋"/>
          <w:noProof/>
          <w:color w:val="000000" w:themeColor="text1"/>
          <w:sz w:val="28"/>
          <w:szCs w:val="32"/>
        </w:rPr>
      </w:pPr>
      <w:hyperlink w:anchor="_Toc124325891" w:history="1">
        <w:r w:rsidR="003122C7">
          <w:rPr>
            <w:rStyle w:val="af5"/>
            <w:rFonts w:ascii="彩虹粗仿宋" w:eastAsia="彩虹粗仿宋" w:hAnsi="宋体" w:hint="eastAsia"/>
            <w:noProof/>
            <w:color w:val="000000" w:themeColor="text1"/>
            <w:sz w:val="28"/>
            <w:szCs w:val="32"/>
          </w:rPr>
          <w:t>七、交易及清算交收安排</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_Toc124325891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14</w:t>
        </w:r>
        <w:r w:rsidR="003122C7">
          <w:rPr>
            <w:rStyle w:val="af5"/>
            <w:rFonts w:ascii="彩虹粗仿宋" w:eastAsia="彩虹粗仿宋" w:hint="eastAsia"/>
            <w:noProof/>
            <w:color w:val="000000" w:themeColor="text1"/>
            <w:sz w:val="28"/>
            <w:szCs w:val="32"/>
          </w:rPr>
          <w:fldChar w:fldCharType="end"/>
        </w:r>
      </w:hyperlink>
    </w:p>
    <w:p w14:paraId="3385678A" w14:textId="6CC7ED96" w:rsidR="00A82A5F" w:rsidRDefault="00BC04E3">
      <w:pPr>
        <w:pStyle w:val="23"/>
        <w:ind w:leftChars="0" w:left="0"/>
        <w:rPr>
          <w:rStyle w:val="af5"/>
          <w:rFonts w:ascii="彩虹粗仿宋" w:eastAsia="彩虹粗仿宋"/>
          <w:noProof/>
          <w:color w:val="000000" w:themeColor="text1"/>
          <w:sz w:val="28"/>
          <w:szCs w:val="32"/>
        </w:rPr>
      </w:pPr>
      <w:hyperlink w:anchor="_Toc124325892" w:history="1">
        <w:r w:rsidR="003122C7">
          <w:rPr>
            <w:rStyle w:val="af5"/>
            <w:rFonts w:ascii="彩虹粗仿宋" w:eastAsia="彩虹粗仿宋" w:hAnsi="宋体" w:hint="eastAsia"/>
            <w:noProof/>
            <w:color w:val="000000" w:themeColor="text1"/>
            <w:sz w:val="28"/>
            <w:szCs w:val="32"/>
          </w:rPr>
          <w:t>八、基金资产净值计算和会计核算</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_Toc124325892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19</w:t>
        </w:r>
        <w:r w:rsidR="003122C7">
          <w:rPr>
            <w:rStyle w:val="af5"/>
            <w:rFonts w:ascii="彩虹粗仿宋" w:eastAsia="彩虹粗仿宋" w:hint="eastAsia"/>
            <w:noProof/>
            <w:color w:val="000000" w:themeColor="text1"/>
            <w:sz w:val="28"/>
            <w:szCs w:val="32"/>
          </w:rPr>
          <w:fldChar w:fldCharType="end"/>
        </w:r>
      </w:hyperlink>
    </w:p>
    <w:p w14:paraId="1FE1F825" w14:textId="0D4A712E" w:rsidR="00A82A5F" w:rsidRDefault="00BC04E3">
      <w:pPr>
        <w:pStyle w:val="23"/>
        <w:ind w:leftChars="0" w:left="0"/>
        <w:rPr>
          <w:rStyle w:val="af5"/>
          <w:rFonts w:ascii="彩虹粗仿宋" w:eastAsia="彩虹粗仿宋"/>
          <w:noProof/>
          <w:color w:val="000000" w:themeColor="text1"/>
          <w:sz w:val="28"/>
          <w:szCs w:val="32"/>
        </w:rPr>
      </w:pPr>
      <w:hyperlink w:anchor="_Toc124325893" w:history="1">
        <w:r w:rsidR="003122C7">
          <w:rPr>
            <w:rStyle w:val="af5"/>
            <w:rFonts w:ascii="彩虹粗仿宋" w:eastAsia="彩虹粗仿宋" w:hAnsi="宋体" w:hint="eastAsia"/>
            <w:noProof/>
            <w:color w:val="000000" w:themeColor="text1"/>
            <w:sz w:val="28"/>
            <w:szCs w:val="32"/>
          </w:rPr>
          <w:t>九、基金收益分配</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_Toc124325893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25</w:t>
        </w:r>
        <w:r w:rsidR="003122C7">
          <w:rPr>
            <w:rStyle w:val="af5"/>
            <w:rFonts w:ascii="彩虹粗仿宋" w:eastAsia="彩虹粗仿宋" w:hint="eastAsia"/>
            <w:noProof/>
            <w:color w:val="000000" w:themeColor="text1"/>
            <w:sz w:val="28"/>
            <w:szCs w:val="32"/>
          </w:rPr>
          <w:fldChar w:fldCharType="end"/>
        </w:r>
      </w:hyperlink>
    </w:p>
    <w:p w14:paraId="3AF96335" w14:textId="0FF4F958" w:rsidR="00A82A5F" w:rsidRDefault="00BC04E3">
      <w:pPr>
        <w:pStyle w:val="23"/>
        <w:ind w:leftChars="0" w:left="0"/>
        <w:rPr>
          <w:rStyle w:val="af5"/>
          <w:rFonts w:ascii="彩虹粗仿宋" w:eastAsia="彩虹粗仿宋"/>
          <w:noProof/>
          <w:color w:val="000000" w:themeColor="text1"/>
          <w:sz w:val="28"/>
          <w:szCs w:val="32"/>
        </w:rPr>
      </w:pPr>
      <w:hyperlink w:anchor="_Toc124325894" w:history="1">
        <w:r w:rsidR="003122C7">
          <w:rPr>
            <w:rStyle w:val="af5"/>
            <w:rFonts w:ascii="彩虹粗仿宋" w:eastAsia="彩虹粗仿宋" w:hAnsi="宋体" w:hint="eastAsia"/>
            <w:noProof/>
            <w:color w:val="000000" w:themeColor="text1"/>
            <w:sz w:val="28"/>
            <w:szCs w:val="32"/>
          </w:rPr>
          <w:t>十、基金信息披露</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_Toc124325894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26</w:t>
        </w:r>
        <w:r w:rsidR="003122C7">
          <w:rPr>
            <w:rStyle w:val="af5"/>
            <w:rFonts w:ascii="彩虹粗仿宋" w:eastAsia="彩虹粗仿宋" w:hint="eastAsia"/>
            <w:noProof/>
            <w:color w:val="000000" w:themeColor="text1"/>
            <w:sz w:val="28"/>
            <w:szCs w:val="32"/>
          </w:rPr>
          <w:fldChar w:fldCharType="end"/>
        </w:r>
      </w:hyperlink>
    </w:p>
    <w:p w14:paraId="0C5FB1D6" w14:textId="73F9AF61" w:rsidR="00A82A5F" w:rsidRDefault="00BC04E3">
      <w:pPr>
        <w:pStyle w:val="23"/>
        <w:ind w:leftChars="0" w:left="0"/>
        <w:rPr>
          <w:rStyle w:val="af5"/>
          <w:rFonts w:ascii="彩虹粗仿宋" w:eastAsia="彩虹粗仿宋"/>
          <w:noProof/>
          <w:color w:val="000000" w:themeColor="text1"/>
          <w:sz w:val="28"/>
          <w:szCs w:val="32"/>
        </w:rPr>
      </w:pPr>
      <w:hyperlink w:anchor="_Toc124325895" w:history="1">
        <w:r w:rsidR="003122C7">
          <w:rPr>
            <w:rStyle w:val="af5"/>
            <w:rFonts w:ascii="彩虹粗仿宋" w:eastAsia="彩虹粗仿宋" w:hAnsi="宋体" w:hint="eastAsia"/>
            <w:noProof/>
            <w:color w:val="000000" w:themeColor="text1"/>
            <w:sz w:val="28"/>
            <w:szCs w:val="32"/>
          </w:rPr>
          <w:t>十一、基金费用</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_Toc124325895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28</w:t>
        </w:r>
        <w:r w:rsidR="003122C7">
          <w:rPr>
            <w:rStyle w:val="af5"/>
            <w:rFonts w:ascii="彩虹粗仿宋" w:eastAsia="彩虹粗仿宋" w:hint="eastAsia"/>
            <w:noProof/>
            <w:color w:val="000000" w:themeColor="text1"/>
            <w:sz w:val="28"/>
            <w:szCs w:val="32"/>
          </w:rPr>
          <w:fldChar w:fldCharType="end"/>
        </w:r>
      </w:hyperlink>
    </w:p>
    <w:p w14:paraId="4E362074" w14:textId="7DF48C59" w:rsidR="00A82A5F" w:rsidRDefault="00BC04E3">
      <w:pPr>
        <w:pStyle w:val="23"/>
        <w:ind w:leftChars="0" w:left="0"/>
        <w:rPr>
          <w:rStyle w:val="af5"/>
          <w:rFonts w:ascii="彩虹粗仿宋" w:eastAsia="彩虹粗仿宋"/>
          <w:noProof/>
          <w:color w:val="000000" w:themeColor="text1"/>
          <w:sz w:val="28"/>
          <w:szCs w:val="32"/>
        </w:rPr>
      </w:pPr>
      <w:hyperlink w:anchor="_Toc124325896" w:history="1">
        <w:r w:rsidR="003122C7">
          <w:rPr>
            <w:rStyle w:val="af5"/>
            <w:rFonts w:ascii="彩虹粗仿宋" w:eastAsia="彩虹粗仿宋" w:hAnsi="宋体" w:hint="eastAsia"/>
            <w:noProof/>
            <w:color w:val="000000" w:themeColor="text1"/>
            <w:sz w:val="28"/>
            <w:szCs w:val="32"/>
          </w:rPr>
          <w:t>十二、基金份额持有人名册的保管</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_Toc124325896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31</w:t>
        </w:r>
        <w:r w:rsidR="003122C7">
          <w:rPr>
            <w:rStyle w:val="af5"/>
            <w:rFonts w:ascii="彩虹粗仿宋" w:eastAsia="彩虹粗仿宋" w:hint="eastAsia"/>
            <w:noProof/>
            <w:color w:val="000000" w:themeColor="text1"/>
            <w:sz w:val="28"/>
            <w:szCs w:val="32"/>
          </w:rPr>
          <w:fldChar w:fldCharType="end"/>
        </w:r>
      </w:hyperlink>
    </w:p>
    <w:p w14:paraId="0D87E772" w14:textId="43050A5F" w:rsidR="00A82A5F" w:rsidRDefault="00BC04E3">
      <w:pPr>
        <w:pStyle w:val="23"/>
        <w:ind w:leftChars="0" w:left="0"/>
        <w:rPr>
          <w:rStyle w:val="af5"/>
          <w:rFonts w:ascii="彩虹粗仿宋" w:eastAsia="彩虹粗仿宋"/>
          <w:noProof/>
          <w:color w:val="000000" w:themeColor="text1"/>
          <w:sz w:val="28"/>
          <w:szCs w:val="32"/>
        </w:rPr>
      </w:pPr>
      <w:hyperlink w:anchor="_Toc124325897" w:history="1">
        <w:r w:rsidR="003122C7">
          <w:rPr>
            <w:rStyle w:val="af5"/>
            <w:rFonts w:ascii="彩虹粗仿宋" w:eastAsia="彩虹粗仿宋" w:hAnsi="宋体" w:hint="eastAsia"/>
            <w:noProof/>
            <w:color w:val="000000" w:themeColor="text1"/>
            <w:sz w:val="28"/>
            <w:szCs w:val="32"/>
          </w:rPr>
          <w:t>十三、基金有关文件档案的保存</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_Toc124325897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31</w:t>
        </w:r>
        <w:r w:rsidR="003122C7">
          <w:rPr>
            <w:rStyle w:val="af5"/>
            <w:rFonts w:ascii="彩虹粗仿宋" w:eastAsia="彩虹粗仿宋" w:hint="eastAsia"/>
            <w:noProof/>
            <w:color w:val="000000" w:themeColor="text1"/>
            <w:sz w:val="28"/>
            <w:szCs w:val="32"/>
          </w:rPr>
          <w:fldChar w:fldCharType="end"/>
        </w:r>
      </w:hyperlink>
    </w:p>
    <w:p w14:paraId="31C6CA12" w14:textId="48DF2B99" w:rsidR="00A82A5F" w:rsidRDefault="00BC04E3">
      <w:pPr>
        <w:pStyle w:val="23"/>
        <w:ind w:leftChars="0" w:left="0"/>
        <w:rPr>
          <w:rStyle w:val="af5"/>
          <w:rFonts w:ascii="彩虹粗仿宋" w:eastAsia="彩虹粗仿宋"/>
          <w:noProof/>
          <w:color w:val="000000" w:themeColor="text1"/>
          <w:sz w:val="28"/>
          <w:szCs w:val="32"/>
        </w:rPr>
      </w:pPr>
      <w:hyperlink w:anchor="_Toc124325898" w:history="1">
        <w:r w:rsidR="003122C7">
          <w:rPr>
            <w:rStyle w:val="af5"/>
            <w:rFonts w:ascii="彩虹粗仿宋" w:eastAsia="彩虹粗仿宋" w:hAnsi="宋体" w:hint="eastAsia"/>
            <w:noProof/>
            <w:color w:val="000000" w:themeColor="text1"/>
            <w:sz w:val="28"/>
            <w:szCs w:val="32"/>
          </w:rPr>
          <w:t>十四、基金管理人和基金托管人的更换</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_Toc124325898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31</w:t>
        </w:r>
        <w:r w:rsidR="003122C7">
          <w:rPr>
            <w:rStyle w:val="af5"/>
            <w:rFonts w:ascii="彩虹粗仿宋" w:eastAsia="彩虹粗仿宋" w:hint="eastAsia"/>
            <w:noProof/>
            <w:color w:val="000000" w:themeColor="text1"/>
            <w:sz w:val="28"/>
            <w:szCs w:val="32"/>
          </w:rPr>
          <w:fldChar w:fldCharType="end"/>
        </w:r>
      </w:hyperlink>
    </w:p>
    <w:p w14:paraId="3242DD38" w14:textId="5430FF54" w:rsidR="00A82A5F" w:rsidRDefault="00BC04E3">
      <w:pPr>
        <w:pStyle w:val="23"/>
        <w:ind w:leftChars="0" w:left="0"/>
        <w:rPr>
          <w:rStyle w:val="af5"/>
          <w:rFonts w:ascii="彩虹粗仿宋" w:eastAsia="彩虹粗仿宋"/>
          <w:noProof/>
          <w:color w:val="000000" w:themeColor="text1"/>
          <w:sz w:val="28"/>
          <w:szCs w:val="32"/>
        </w:rPr>
      </w:pPr>
      <w:hyperlink w:anchor="_Toc124325899" w:history="1">
        <w:r w:rsidR="003122C7">
          <w:rPr>
            <w:rStyle w:val="af5"/>
            <w:rFonts w:ascii="彩虹粗仿宋" w:eastAsia="彩虹粗仿宋" w:hAnsi="宋体" w:hint="eastAsia"/>
            <w:noProof/>
            <w:color w:val="000000" w:themeColor="text1"/>
            <w:sz w:val="28"/>
            <w:szCs w:val="32"/>
          </w:rPr>
          <w:t>十五、禁止行为</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_Toc124325899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33</w:t>
        </w:r>
        <w:r w:rsidR="003122C7">
          <w:rPr>
            <w:rStyle w:val="af5"/>
            <w:rFonts w:ascii="彩虹粗仿宋" w:eastAsia="彩虹粗仿宋" w:hint="eastAsia"/>
            <w:noProof/>
            <w:color w:val="000000" w:themeColor="text1"/>
            <w:sz w:val="28"/>
            <w:szCs w:val="32"/>
          </w:rPr>
          <w:fldChar w:fldCharType="end"/>
        </w:r>
      </w:hyperlink>
    </w:p>
    <w:p w14:paraId="4A2D8E87" w14:textId="4553D1F5" w:rsidR="00A82A5F" w:rsidRDefault="00BC04E3">
      <w:pPr>
        <w:pStyle w:val="23"/>
        <w:ind w:leftChars="0" w:left="0"/>
        <w:rPr>
          <w:rStyle w:val="af5"/>
          <w:rFonts w:ascii="彩虹粗仿宋" w:eastAsia="彩虹粗仿宋"/>
          <w:noProof/>
          <w:color w:val="000000" w:themeColor="text1"/>
          <w:sz w:val="28"/>
          <w:szCs w:val="32"/>
        </w:rPr>
      </w:pPr>
      <w:hyperlink w:anchor="_Toc124325900" w:history="1">
        <w:r w:rsidR="003122C7">
          <w:rPr>
            <w:rStyle w:val="af5"/>
            <w:rFonts w:ascii="彩虹粗仿宋" w:eastAsia="彩虹粗仿宋" w:hAnsi="宋体" w:hint="eastAsia"/>
            <w:noProof/>
            <w:color w:val="000000" w:themeColor="text1"/>
            <w:sz w:val="28"/>
            <w:szCs w:val="32"/>
          </w:rPr>
          <w:t>十六、托管协议的变更、终止与基金财产的清算</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_Toc124325900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35</w:t>
        </w:r>
        <w:r w:rsidR="003122C7">
          <w:rPr>
            <w:rStyle w:val="af5"/>
            <w:rFonts w:ascii="彩虹粗仿宋" w:eastAsia="彩虹粗仿宋" w:hint="eastAsia"/>
            <w:noProof/>
            <w:color w:val="000000" w:themeColor="text1"/>
            <w:sz w:val="28"/>
            <w:szCs w:val="32"/>
          </w:rPr>
          <w:fldChar w:fldCharType="end"/>
        </w:r>
      </w:hyperlink>
    </w:p>
    <w:p w14:paraId="50C19B12" w14:textId="1859C5BF" w:rsidR="00A82A5F" w:rsidRDefault="00BC04E3">
      <w:pPr>
        <w:pStyle w:val="23"/>
        <w:ind w:leftChars="0" w:left="0"/>
        <w:rPr>
          <w:rStyle w:val="af5"/>
          <w:rFonts w:ascii="彩虹粗仿宋" w:eastAsia="彩虹粗仿宋"/>
          <w:noProof/>
          <w:color w:val="000000" w:themeColor="text1"/>
          <w:sz w:val="28"/>
          <w:szCs w:val="32"/>
        </w:rPr>
      </w:pPr>
      <w:hyperlink w:anchor="_Toc124325901" w:history="1">
        <w:r w:rsidR="003122C7">
          <w:rPr>
            <w:rStyle w:val="af5"/>
            <w:rFonts w:ascii="彩虹粗仿宋" w:eastAsia="彩虹粗仿宋" w:hAnsi="宋体" w:hint="eastAsia"/>
            <w:noProof/>
            <w:color w:val="000000" w:themeColor="text1"/>
            <w:sz w:val="28"/>
            <w:szCs w:val="32"/>
          </w:rPr>
          <w:t>十七、违约责任</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_Toc124325901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36</w:t>
        </w:r>
        <w:r w:rsidR="003122C7">
          <w:rPr>
            <w:rStyle w:val="af5"/>
            <w:rFonts w:ascii="彩虹粗仿宋" w:eastAsia="彩虹粗仿宋" w:hint="eastAsia"/>
            <w:noProof/>
            <w:color w:val="000000" w:themeColor="text1"/>
            <w:sz w:val="28"/>
            <w:szCs w:val="32"/>
          </w:rPr>
          <w:fldChar w:fldCharType="end"/>
        </w:r>
      </w:hyperlink>
    </w:p>
    <w:p w14:paraId="2E66ED10" w14:textId="7A916F3B" w:rsidR="00A82A5F" w:rsidRDefault="00BC04E3">
      <w:pPr>
        <w:pStyle w:val="23"/>
        <w:ind w:leftChars="0" w:left="0"/>
        <w:rPr>
          <w:rStyle w:val="af5"/>
          <w:rFonts w:ascii="彩虹粗仿宋" w:eastAsia="彩虹粗仿宋"/>
          <w:noProof/>
          <w:color w:val="000000" w:themeColor="text1"/>
          <w:sz w:val="28"/>
          <w:szCs w:val="32"/>
        </w:rPr>
      </w:pPr>
      <w:hyperlink w:anchor="_Toc124325902" w:history="1">
        <w:r w:rsidR="003122C7">
          <w:rPr>
            <w:rStyle w:val="af5"/>
            <w:rFonts w:ascii="彩虹粗仿宋" w:eastAsia="彩虹粗仿宋" w:hAnsi="宋体" w:hint="eastAsia"/>
            <w:noProof/>
            <w:color w:val="000000" w:themeColor="text1"/>
            <w:sz w:val="28"/>
            <w:szCs w:val="32"/>
          </w:rPr>
          <w:t>十八、争议解决方式</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_Toc124325902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37</w:t>
        </w:r>
        <w:r w:rsidR="003122C7">
          <w:rPr>
            <w:rStyle w:val="af5"/>
            <w:rFonts w:ascii="彩虹粗仿宋" w:eastAsia="彩虹粗仿宋" w:hint="eastAsia"/>
            <w:noProof/>
            <w:color w:val="000000" w:themeColor="text1"/>
            <w:sz w:val="28"/>
            <w:szCs w:val="32"/>
          </w:rPr>
          <w:fldChar w:fldCharType="end"/>
        </w:r>
      </w:hyperlink>
    </w:p>
    <w:p w14:paraId="3DA14B64" w14:textId="1B584A04" w:rsidR="00A82A5F" w:rsidRDefault="00BC04E3">
      <w:pPr>
        <w:pStyle w:val="23"/>
        <w:ind w:leftChars="0" w:left="0"/>
        <w:rPr>
          <w:rStyle w:val="af5"/>
          <w:rFonts w:ascii="彩虹粗仿宋" w:eastAsia="彩虹粗仿宋"/>
          <w:noProof/>
          <w:color w:val="000000" w:themeColor="text1"/>
          <w:sz w:val="28"/>
          <w:szCs w:val="32"/>
        </w:rPr>
      </w:pPr>
      <w:hyperlink w:anchor="_Toc124325903" w:history="1">
        <w:r w:rsidR="003122C7">
          <w:rPr>
            <w:rStyle w:val="af5"/>
            <w:rFonts w:ascii="彩虹粗仿宋" w:eastAsia="彩虹粗仿宋" w:hAnsi="宋体" w:hint="eastAsia"/>
            <w:noProof/>
            <w:color w:val="000000" w:themeColor="text1"/>
            <w:sz w:val="28"/>
            <w:szCs w:val="32"/>
          </w:rPr>
          <w:t>十九、托管协议的效力</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_Toc124325903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37</w:t>
        </w:r>
        <w:r w:rsidR="003122C7">
          <w:rPr>
            <w:rStyle w:val="af5"/>
            <w:rFonts w:ascii="彩虹粗仿宋" w:eastAsia="彩虹粗仿宋" w:hint="eastAsia"/>
            <w:noProof/>
            <w:color w:val="000000" w:themeColor="text1"/>
            <w:sz w:val="28"/>
            <w:szCs w:val="32"/>
          </w:rPr>
          <w:fldChar w:fldCharType="end"/>
        </w:r>
      </w:hyperlink>
    </w:p>
    <w:p w14:paraId="6FD6073A" w14:textId="4937E47B" w:rsidR="00A82A5F" w:rsidRDefault="00BC04E3">
      <w:pPr>
        <w:pStyle w:val="23"/>
        <w:ind w:leftChars="0" w:left="0"/>
        <w:rPr>
          <w:rStyle w:val="af5"/>
          <w:rFonts w:ascii="彩虹粗仿宋" w:eastAsia="彩虹粗仿宋"/>
          <w:noProof/>
          <w:color w:val="000000" w:themeColor="text1"/>
          <w:sz w:val="28"/>
          <w:szCs w:val="32"/>
        </w:rPr>
      </w:pPr>
      <w:hyperlink w:anchor="_Toc124325904" w:history="1">
        <w:r w:rsidR="003122C7">
          <w:rPr>
            <w:rStyle w:val="af5"/>
            <w:rFonts w:ascii="彩虹粗仿宋" w:eastAsia="彩虹粗仿宋" w:hAnsi="宋体" w:hint="eastAsia"/>
            <w:noProof/>
            <w:color w:val="000000" w:themeColor="text1"/>
            <w:sz w:val="28"/>
            <w:szCs w:val="32"/>
          </w:rPr>
          <w:t>二十、其他事项</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_Toc124325904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38</w:t>
        </w:r>
        <w:r w:rsidR="003122C7">
          <w:rPr>
            <w:rStyle w:val="af5"/>
            <w:rFonts w:ascii="彩虹粗仿宋" w:eastAsia="彩虹粗仿宋" w:hint="eastAsia"/>
            <w:noProof/>
            <w:color w:val="000000" w:themeColor="text1"/>
            <w:sz w:val="28"/>
            <w:szCs w:val="32"/>
          </w:rPr>
          <w:fldChar w:fldCharType="end"/>
        </w:r>
      </w:hyperlink>
    </w:p>
    <w:p w14:paraId="56989028" w14:textId="76C8ADD2" w:rsidR="00E90AF2" w:rsidRDefault="00BC04E3">
      <w:pPr>
        <w:pStyle w:val="23"/>
        <w:ind w:leftChars="0" w:left="0"/>
        <w:rPr>
          <w:rStyle w:val="af5"/>
          <w:rFonts w:ascii="彩虹粗仿宋" w:eastAsia="彩虹粗仿宋"/>
          <w:noProof/>
          <w:color w:val="000000" w:themeColor="text1"/>
          <w:sz w:val="28"/>
          <w:szCs w:val="32"/>
        </w:rPr>
        <w:sectPr w:rsidR="00E90AF2" w:rsidSect="00E90AF2">
          <w:footerReference w:type="default" r:id="rId7"/>
          <w:pgSz w:w="11906" w:h="16838"/>
          <w:pgMar w:top="1418" w:right="1701" w:bottom="1418" w:left="1701" w:header="851" w:footer="992" w:gutter="0"/>
          <w:pgNumType w:start="1"/>
          <w:cols w:space="425"/>
          <w:titlePg/>
          <w:docGrid w:type="lines" w:linePitch="312"/>
        </w:sectPr>
      </w:pPr>
      <w:hyperlink w:anchor="_Toc124325905" w:history="1">
        <w:r w:rsidR="003122C7">
          <w:rPr>
            <w:rStyle w:val="af5"/>
            <w:rFonts w:ascii="彩虹粗仿宋" w:eastAsia="彩虹粗仿宋" w:hAnsi="宋体" w:hint="eastAsia"/>
            <w:noProof/>
            <w:color w:val="000000" w:themeColor="text1"/>
            <w:sz w:val="28"/>
            <w:szCs w:val="32"/>
          </w:rPr>
          <w:t>二十一、托管协议的签订</w:t>
        </w:r>
        <w:r w:rsidR="003122C7">
          <w:rPr>
            <w:rStyle w:val="af5"/>
            <w:rFonts w:ascii="彩虹粗仿宋" w:eastAsia="彩虹粗仿宋" w:hint="eastAsia"/>
            <w:noProof/>
            <w:color w:val="000000" w:themeColor="text1"/>
            <w:sz w:val="28"/>
            <w:szCs w:val="32"/>
          </w:rPr>
          <w:tab/>
        </w:r>
        <w:r w:rsidR="003122C7">
          <w:rPr>
            <w:rStyle w:val="af5"/>
            <w:rFonts w:ascii="彩虹粗仿宋" w:eastAsia="彩虹粗仿宋" w:hint="eastAsia"/>
            <w:noProof/>
            <w:color w:val="000000" w:themeColor="text1"/>
            <w:sz w:val="28"/>
            <w:szCs w:val="32"/>
          </w:rPr>
          <w:fldChar w:fldCharType="begin"/>
        </w:r>
        <w:r w:rsidR="003122C7">
          <w:rPr>
            <w:rStyle w:val="af5"/>
            <w:rFonts w:ascii="彩虹粗仿宋" w:eastAsia="彩虹粗仿宋" w:hint="eastAsia"/>
            <w:noProof/>
            <w:color w:val="000000" w:themeColor="text1"/>
            <w:sz w:val="28"/>
            <w:szCs w:val="32"/>
          </w:rPr>
          <w:instrText xml:space="preserve"> PAGEREF _Toc124325905 \h </w:instrText>
        </w:r>
        <w:r w:rsidR="003122C7">
          <w:rPr>
            <w:rStyle w:val="af5"/>
            <w:rFonts w:ascii="彩虹粗仿宋" w:eastAsia="彩虹粗仿宋" w:hint="eastAsia"/>
            <w:noProof/>
            <w:color w:val="000000" w:themeColor="text1"/>
            <w:sz w:val="28"/>
            <w:szCs w:val="32"/>
          </w:rPr>
        </w:r>
        <w:r w:rsidR="003122C7">
          <w:rPr>
            <w:rStyle w:val="af5"/>
            <w:rFonts w:ascii="彩虹粗仿宋" w:eastAsia="彩虹粗仿宋" w:hint="eastAsia"/>
            <w:noProof/>
            <w:color w:val="000000" w:themeColor="text1"/>
            <w:sz w:val="28"/>
            <w:szCs w:val="32"/>
          </w:rPr>
          <w:fldChar w:fldCharType="separate"/>
        </w:r>
        <w:r w:rsidR="004437DB">
          <w:rPr>
            <w:rStyle w:val="af5"/>
            <w:rFonts w:ascii="彩虹粗仿宋" w:eastAsia="彩虹粗仿宋"/>
            <w:noProof/>
            <w:color w:val="000000" w:themeColor="text1"/>
            <w:sz w:val="28"/>
            <w:szCs w:val="32"/>
          </w:rPr>
          <w:t>38</w:t>
        </w:r>
        <w:r w:rsidR="003122C7">
          <w:rPr>
            <w:rStyle w:val="af5"/>
            <w:rFonts w:ascii="彩虹粗仿宋" w:eastAsia="彩虹粗仿宋" w:hint="eastAsia"/>
            <w:noProof/>
            <w:color w:val="000000" w:themeColor="text1"/>
            <w:sz w:val="28"/>
            <w:szCs w:val="32"/>
          </w:rPr>
          <w:fldChar w:fldCharType="end"/>
        </w:r>
      </w:hyperlink>
    </w:p>
    <w:p w14:paraId="20CCE597" w14:textId="3ED14EE8" w:rsidR="00E90AF2" w:rsidRDefault="00E90AF2">
      <w:pPr>
        <w:pStyle w:val="23"/>
        <w:ind w:leftChars="0" w:left="0"/>
        <w:rPr>
          <w:rStyle w:val="af5"/>
          <w:rFonts w:ascii="彩虹粗仿宋" w:eastAsia="彩虹粗仿宋"/>
          <w:noProof/>
          <w:color w:val="000000" w:themeColor="text1"/>
          <w:sz w:val="28"/>
          <w:szCs w:val="32"/>
        </w:rPr>
      </w:pPr>
    </w:p>
    <w:p w14:paraId="3577FAF9" w14:textId="77777777" w:rsidR="00A82A5F" w:rsidRDefault="003122C7">
      <w:pPr>
        <w:pStyle w:val="23"/>
        <w:ind w:leftChars="0" w:left="0"/>
        <w:rPr>
          <w:rFonts w:ascii="宋体" w:hAnsi="宋体"/>
          <w:color w:val="000000" w:themeColor="text1"/>
          <w:sz w:val="24"/>
        </w:rPr>
      </w:pPr>
      <w:r>
        <w:rPr>
          <w:rStyle w:val="af5"/>
          <w:rFonts w:ascii="彩虹粗仿宋" w:eastAsia="彩虹粗仿宋" w:hint="eastAsia"/>
          <w:color w:val="000000" w:themeColor="text1"/>
          <w:szCs w:val="32"/>
        </w:rPr>
        <w:fldChar w:fldCharType="end"/>
      </w:r>
    </w:p>
    <w:p w14:paraId="56E3F7BA" w14:textId="09ECEDEC" w:rsidR="00A82A5F" w:rsidRDefault="005926C0" w:rsidP="005926C0">
      <w:pPr>
        <w:widowControl/>
        <w:adjustRightInd w:val="0"/>
        <w:snapToGrid w:val="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ab/>
      </w:r>
      <w:r w:rsidR="003122C7">
        <w:rPr>
          <w:rFonts w:ascii="彩虹粗仿宋" w:eastAsia="彩虹粗仿宋" w:hAnsi="宋体" w:cs="Arial" w:hint="eastAsia"/>
          <w:color w:val="000000" w:themeColor="text1"/>
          <w:kern w:val="0"/>
          <w:sz w:val="24"/>
          <w:szCs w:val="24"/>
        </w:rPr>
        <w:t>鉴于万家基金管理有限公司系一家依照中国法律合法成立并有效存续的有限责任公司，按照相关法律法规的规定具备担任基金管理人的资格和能力，拟募集发行万家元和债券型证券投资基金；</w:t>
      </w:r>
    </w:p>
    <w:p w14:paraId="02A374A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鉴于中国建设银行股份有限公司系一家依照中国法律合法成立并有效存续的银行，按照相关法律法规的规定具备担任基金托管人的资格和能力；</w:t>
      </w:r>
    </w:p>
    <w:p w14:paraId="53BE516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鉴于万家基金管理有限公司拟担任万家元和债券型证券投资基金的基金管理人，中国建设银行股份有限公司拟担任万家元和债券型证券投资基金的基金托管人；</w:t>
      </w:r>
    </w:p>
    <w:p w14:paraId="4746B5F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为明确万家元和债券型证券投资基金的基金管理人和基金托管人之间的权利义务关系，特制订本托管协议；</w:t>
      </w:r>
    </w:p>
    <w:p w14:paraId="7EC0914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除非另有约定，《万家元和债券型证券投资基金基金合同》(以下简称“《基金合同》”或“基金合同”)中定义的术语在用于本托管协议时应具有相同的含义；若有抵触应以《基金合同》为准， 并依其条款解释。</w:t>
      </w:r>
    </w:p>
    <w:p w14:paraId="7526504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若本基金实施侧袋机制的，侧袋机制实施期间的相关安排按照基金合同和招募说明书的规定执行。</w:t>
      </w:r>
    </w:p>
    <w:p w14:paraId="3C9195D3" w14:textId="77777777" w:rsidR="00A82A5F" w:rsidRDefault="00A82A5F">
      <w:pPr>
        <w:rPr>
          <w:rFonts w:ascii="宋体" w:eastAsia="宋体" w:hAnsi="宋体"/>
          <w:color w:val="000000" w:themeColor="text1"/>
          <w:sz w:val="24"/>
          <w:lang w:val="en-GB"/>
        </w:rPr>
      </w:pPr>
    </w:p>
    <w:p w14:paraId="382D9B71" w14:textId="77777777" w:rsidR="00A82A5F" w:rsidRDefault="003122C7">
      <w:pPr>
        <w:pStyle w:val="2"/>
        <w:jc w:val="center"/>
        <w:rPr>
          <w:rFonts w:ascii="彩虹粗仿宋" w:eastAsia="彩虹粗仿宋"/>
          <w:color w:val="000000" w:themeColor="text1"/>
        </w:rPr>
      </w:pPr>
      <w:bookmarkStart w:id="3" w:name="_Toc124325885"/>
      <w:r>
        <w:rPr>
          <w:rFonts w:ascii="彩虹粗仿宋" w:eastAsia="彩虹粗仿宋" w:hint="eastAsia"/>
          <w:color w:val="000000" w:themeColor="text1"/>
        </w:rPr>
        <w:t>一、基金托管协议当事人</w:t>
      </w:r>
      <w:bookmarkEnd w:id="3"/>
    </w:p>
    <w:p w14:paraId="48B1051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w:t>
      </w:r>
    </w:p>
    <w:p w14:paraId="4A1CD7F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名称：万家基金管理有限公司</w:t>
      </w:r>
    </w:p>
    <w:p w14:paraId="4F95D05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注册地址：中国（上海）自由贸易试验区浦电路360号8层（名义楼层9层）</w:t>
      </w:r>
    </w:p>
    <w:p w14:paraId="0852623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邮政编码：</w:t>
      </w:r>
      <w:r>
        <w:rPr>
          <w:rFonts w:ascii="彩虹粗仿宋" w:eastAsia="彩虹粗仿宋" w:hAnsi="宋体" w:cs="Arial"/>
          <w:color w:val="000000" w:themeColor="text1"/>
          <w:kern w:val="0"/>
          <w:sz w:val="24"/>
          <w:szCs w:val="24"/>
        </w:rPr>
        <w:t>200122</w:t>
      </w:r>
    </w:p>
    <w:p w14:paraId="5B8EE991" w14:textId="059F9189"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法定代表人：</w:t>
      </w:r>
      <w:r w:rsidR="00BC49F2" w:rsidRPr="00BC49F2">
        <w:rPr>
          <w:rFonts w:ascii="彩虹粗仿宋" w:eastAsia="彩虹粗仿宋" w:hAnsi="宋体" w:cs="Arial" w:hint="eastAsia"/>
          <w:color w:val="000000" w:themeColor="text1"/>
          <w:kern w:val="0"/>
          <w:sz w:val="24"/>
          <w:szCs w:val="24"/>
        </w:rPr>
        <w:t>陈广益</w:t>
      </w:r>
    </w:p>
    <w:p w14:paraId="14A336BF" w14:textId="79C7E533" w:rsidR="00A82A5F" w:rsidRDefault="003122C7" w:rsidP="005926C0">
      <w:pPr>
        <w:widowControl/>
        <w:tabs>
          <w:tab w:val="center" w:pos="4492"/>
        </w:tabs>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成立日期：2002年8月23日</w:t>
      </w:r>
      <w:r w:rsidR="005926C0">
        <w:rPr>
          <w:rFonts w:ascii="彩虹粗仿宋" w:eastAsia="彩虹粗仿宋" w:hAnsi="宋体" w:cs="Arial"/>
          <w:color w:val="000000" w:themeColor="text1"/>
          <w:kern w:val="0"/>
          <w:sz w:val="24"/>
          <w:szCs w:val="24"/>
        </w:rPr>
        <w:tab/>
      </w:r>
    </w:p>
    <w:p w14:paraId="5477F36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批准设立机关及批准设立文号：中国证监会证监基金字【2002】44号</w:t>
      </w:r>
    </w:p>
    <w:p w14:paraId="18C1DB9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组织形式：有限责任公司</w:t>
      </w:r>
    </w:p>
    <w:p w14:paraId="6010E3A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注册资本：叁亿元人民币</w:t>
      </w:r>
    </w:p>
    <w:p w14:paraId="02FB3ED1"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存续期间：持续经营</w:t>
      </w:r>
    </w:p>
    <w:p w14:paraId="7BA578A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经营范围：基金募集；基金销售；资产管理和中国证监会许可的其他业务</w:t>
      </w:r>
    </w:p>
    <w:p w14:paraId="1613206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（二）基金托管人</w:t>
      </w:r>
    </w:p>
    <w:p w14:paraId="791033B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名称：中国建设银行股份有限公司</w:t>
      </w:r>
    </w:p>
    <w:p w14:paraId="7D9D27F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住所：北京市西城区金融大街25号</w:t>
      </w:r>
    </w:p>
    <w:p w14:paraId="1113B80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办公地址：北京市西城区闹市口大街1号院1号楼</w:t>
      </w:r>
    </w:p>
    <w:p w14:paraId="3C88ABE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邮政编码：100033</w:t>
      </w:r>
    </w:p>
    <w:p w14:paraId="6237AD4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法定代表人：张金良</w:t>
      </w:r>
    </w:p>
    <w:p w14:paraId="0D009B3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成立日期：2004年09月17日</w:t>
      </w:r>
    </w:p>
    <w:p w14:paraId="6B4FA64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批准设立机关和批准设立文号：中国银行业监督管理委员会银监复[2004]143号</w:t>
      </w:r>
    </w:p>
    <w:p w14:paraId="69AB0A6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基金托管业务批准文号：中国证监会证监基字[1998]12号</w:t>
      </w:r>
    </w:p>
    <w:p w14:paraId="61BBAB3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组织形式：股份有限公司</w:t>
      </w:r>
    </w:p>
    <w:p w14:paraId="7A0680B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注册资本：人民币贰仟陆佰壹拾陆亿零叁拾捌万壹仟伍佰元整</w:t>
      </w:r>
    </w:p>
    <w:p w14:paraId="77A4895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存续期间：持续经营</w:t>
      </w:r>
    </w:p>
    <w:p w14:paraId="38BC816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2BC79C6" w14:textId="77777777" w:rsidR="00A82A5F" w:rsidRDefault="003122C7">
      <w:pPr>
        <w:pStyle w:val="2"/>
        <w:jc w:val="center"/>
        <w:rPr>
          <w:rFonts w:ascii="彩虹粗仿宋" w:eastAsia="彩虹粗仿宋"/>
          <w:color w:val="000000" w:themeColor="text1"/>
        </w:rPr>
      </w:pPr>
      <w:bookmarkStart w:id="4" w:name="_Toc124325886"/>
      <w:r>
        <w:rPr>
          <w:rFonts w:ascii="彩虹粗仿宋" w:eastAsia="彩虹粗仿宋" w:hint="eastAsia"/>
          <w:color w:val="000000" w:themeColor="text1"/>
        </w:rPr>
        <w:t>二、基金托管协议的依据、目的和原则</w:t>
      </w:r>
      <w:bookmarkEnd w:id="4"/>
    </w:p>
    <w:p w14:paraId="03986D5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（一）订立托管协议的依据</w:t>
      </w:r>
    </w:p>
    <w:p w14:paraId="09A8206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本协议依据《中华人民共和国证券投资基金法》(以下简称“《基金法》”)等有关法律法规、《基金合同》及其他有关规定制订。</w:t>
      </w:r>
    </w:p>
    <w:p w14:paraId="11EF582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（二）订立托管协议的目的</w:t>
      </w:r>
    </w:p>
    <w:p w14:paraId="2614752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9DF357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（三）订立托管协议的原则</w:t>
      </w:r>
    </w:p>
    <w:p w14:paraId="0313812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基金管理人和基金托管人本着平等自愿、诚实信用、充分保护基金份额持有人合法权益的原则，经协商一致，签订本协议。</w:t>
      </w:r>
    </w:p>
    <w:p w14:paraId="082270E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 xml:space="preserve">（四） 托管人免责声明 </w:t>
      </w:r>
    </w:p>
    <w:p w14:paraId="2C50ED8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基金托管人开展托管业务，不得承担以下职责：</w:t>
      </w:r>
    </w:p>
    <w:p w14:paraId="37B46D8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1.承担基金财产的信用风险、市场风险等；</w:t>
      </w:r>
    </w:p>
    <w:p w14:paraId="1FDB34C1"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2.为基金提供直接或间接、显性或隐性担保，包括承诺本金或保证收益；</w:t>
      </w:r>
    </w:p>
    <w:p w14:paraId="37839FF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3.为基金垫付资金、提供流动性支持或融资承诺等；</w:t>
      </w:r>
    </w:p>
    <w:p w14:paraId="4F9D788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4.参与投资者适当性管理；</w:t>
      </w:r>
    </w:p>
    <w:p w14:paraId="67251DF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5.保证投资项目及交易信息真实性；</w:t>
      </w:r>
    </w:p>
    <w:p w14:paraId="15FC826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6.保证基金资金来源的合法合规性；</w:t>
      </w:r>
    </w:p>
    <w:p w14:paraId="132356D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7.对已划出托管账户以及处于基金托管人实际控制之外的资产承担保管责任；</w:t>
      </w:r>
    </w:p>
    <w:p w14:paraId="4DC6B95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8.参与基金管理人对基金的投资决策；</w:t>
      </w:r>
    </w:p>
    <w:p w14:paraId="5BC10C8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9.违规代替基金管理人向其他机构或者个人进行基金信息披露或提供相关数据信息；</w:t>
      </w:r>
    </w:p>
    <w:p w14:paraId="180A93A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10.基金管理人未接受基金托管人的复核意见进行信息披露产生的相应责任；</w:t>
      </w:r>
    </w:p>
    <w:p w14:paraId="68CF23C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11.负责未兑付产品的资金追偿、财产保全、诉讼仲裁、债务重组和破产程序等，法律另有规定的除外；</w:t>
      </w:r>
    </w:p>
    <w:p w14:paraId="6D9BF59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12.因不可抗力，以及非本机构履职错误或过失造成的托管资产损失；</w:t>
      </w:r>
    </w:p>
    <w:p w14:paraId="6AC3F28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13.国务院金融监管部门规定的不属于基金托管人托管业务范围的其他职责。</w:t>
      </w:r>
    </w:p>
    <w:p w14:paraId="1E4DB9EA" w14:textId="77777777" w:rsidR="00A82A5F" w:rsidRDefault="00A82A5F">
      <w:pPr>
        <w:rPr>
          <w:rFonts w:ascii="宋体" w:eastAsia="宋体" w:hAnsi="宋体"/>
          <w:color w:val="000000" w:themeColor="text1"/>
          <w:sz w:val="24"/>
        </w:rPr>
      </w:pPr>
    </w:p>
    <w:p w14:paraId="26E20135" w14:textId="77777777" w:rsidR="00A82A5F" w:rsidRDefault="003122C7">
      <w:pPr>
        <w:pStyle w:val="2"/>
        <w:jc w:val="center"/>
        <w:rPr>
          <w:rFonts w:ascii="彩虹粗仿宋" w:eastAsia="彩虹粗仿宋"/>
          <w:color w:val="000000" w:themeColor="text1"/>
        </w:rPr>
      </w:pPr>
      <w:bookmarkStart w:id="5" w:name="_Toc124325887"/>
      <w:r>
        <w:rPr>
          <w:rFonts w:ascii="彩虹粗仿宋" w:eastAsia="彩虹粗仿宋" w:hint="eastAsia"/>
          <w:color w:val="000000" w:themeColor="text1"/>
        </w:rPr>
        <w:t>三、基金托管人对基金管理人的业务监督和核查</w:t>
      </w:r>
      <w:bookmarkEnd w:id="5"/>
    </w:p>
    <w:p w14:paraId="4755056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w:t>
      </w:r>
      <w:r>
        <w:rPr>
          <w:rFonts w:ascii="彩虹粗仿宋" w:eastAsia="彩虹粗仿宋" w:hAnsi="宋体" w:cs="Arial" w:hint="eastAsia"/>
          <w:color w:val="000000" w:themeColor="text1"/>
          <w:sz w:val="24"/>
        </w:rPr>
        <w:t>标的证券库</w:t>
      </w:r>
      <w:r>
        <w:rPr>
          <w:rFonts w:ascii="彩虹粗仿宋" w:eastAsia="彩虹粗仿宋" w:hAnsi="宋体" w:cs="Arial" w:hint="eastAsia"/>
          <w:color w:val="000000" w:themeColor="text1"/>
          <w:kern w:val="0"/>
          <w:sz w:val="24"/>
          <w:szCs w:val="24"/>
        </w:rPr>
        <w:t>予以更新和调整并及时通知基金托管人。基金托管人根据上述投资范围对基金实际投资是否符合《基金合同》关于证券选择标准的约定进行监督。</w:t>
      </w:r>
    </w:p>
    <w:p w14:paraId="7C93A2C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的投资范围为具有良好流动性的金融工具，包括国内依法发行上市的股票（包括主板、创业板以及其他中国证监会允许上市的股票、存托凭证）、经中国证监会依法核准或注册的公开募集证券投资基金（包括公开募集不动产投资信托基金（以下简称“公募 REITs”），不含QDII基金、香港互认基金、基金中基金、货币市场基金和其他可投资公募基金的非基金中基金）、港股通标的股票、债券（包括国债、央行票据、地方政府债、金融债、企业债、公司债、公开发行的证券公司短期公司债、政府支持机构债、次级债、中期票据、短期融资券、超短期融资券、可转换债券（含可分离交易可转债）、可交换债券等）、资产支持证券、债券回购、银行存款、同业存单、货币市场工具、国债期货、信用衍生品以及法律法规或中国证监会允许基金投资的其他金融工具（但须符合中国证监会相关规定）。</w:t>
      </w:r>
    </w:p>
    <w:p w14:paraId="148A1EC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如法律法规或监管机构以后允许基金投资其他品种，基金管理人在履行适当程序后，可以将其纳入投资范围。</w:t>
      </w:r>
    </w:p>
    <w:p w14:paraId="76AAF6C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本基金的投资组合比例为：本基金投资于债券资产的比例不低于基金资产的80%；本基金投资于权益类资产、可转换债券（不含可分离交易可转债的纯债部</w:t>
      </w:r>
      <w:r>
        <w:rPr>
          <w:rFonts w:ascii="彩虹粗仿宋" w:eastAsia="彩虹粗仿宋" w:hAnsi="宋体" w:cs="Arial" w:hint="eastAsia"/>
          <w:color w:val="000000" w:themeColor="text1"/>
          <w:kern w:val="0"/>
          <w:sz w:val="24"/>
          <w:szCs w:val="24"/>
        </w:rPr>
        <w:lastRenderedPageBreak/>
        <w:t>分）及可交换债券的比例合计为基金资产的5%-20%，其中投资于境内股票资产（含A股ETF）的比例不低于基金资产的5%。权益类资产包括股票、存托凭证、股票型基金和权益类混合型基金，其中权益类混合型基金包含以下两种，一是基金合同中明确规定股票资产占基金资产的比例不低于60%的混合型基金；二是根据定期报告，最近四个季度股票资产占基金资产的比例均不低于60%的混合型基金。</w:t>
      </w:r>
    </w:p>
    <w:p w14:paraId="72162E7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于经中国证监会依法核准或注册的公开募集证券投资基金的基金份额的资产占基金资产净值的比例不超过10%；本基金投资于港股通标的股票的比例不超过股票资产的50%；每个交易日日终在扣除国债期货合约需缴纳的交易保证金后，保持不低于基金资产净值5%的现金或者到期日在一年以内的政府债券，其中现金不包括结算备付金、存出保证金和应收申购款等。</w:t>
      </w:r>
    </w:p>
    <w:p w14:paraId="2DA7EB2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（二）基金托管人根据有关法律法规的规定及《基金合同》的约定，对基金投资比例进行监督。基金托管人按下述比例和调整期限进行监督：</w:t>
      </w:r>
    </w:p>
    <w:p w14:paraId="714A997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bookmarkStart w:id="6" w:name="_Hlk221738558"/>
      <w:r>
        <w:rPr>
          <w:rFonts w:ascii="彩虹粗仿宋" w:eastAsia="彩虹粗仿宋" w:hAnsi="宋体" w:cs="Arial" w:hint="eastAsia"/>
          <w:color w:val="000000" w:themeColor="text1"/>
          <w:kern w:val="0"/>
          <w:sz w:val="24"/>
          <w:szCs w:val="24"/>
        </w:rPr>
        <w:t>（1）本基金投资于债券资产的比例不低于基金资产的80%；本基金投资于权益类资产、可转换债券（不含可分离交易可转债的纯债部分）及可交换债券的比例合计为基金资产的5%-20%，其中投资于境内股票资产（含A股ETF）的比例不低于基金资产的5%。权益类资产包括股票、存托凭证、股票型基金和权益类混合型基金，其中权益类混合型基金包含以下两种，一是基金合同中明确规定股票资产占基金资产的比例不低于60%的混合型基金；二是根据定期报告，最近四个季度股票资产占基金资产的比例均不低于60%的混合型基金；</w:t>
      </w:r>
    </w:p>
    <w:p w14:paraId="55EE830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（2）本基金投资于经中国证监会依法核准或注册的公开募集证券投资基金的基金份额的资产占基金资产净值的比例不超过10%；本基金投资于港股通标的股票的比例不超过股票资产的50%；</w:t>
      </w:r>
    </w:p>
    <w:p w14:paraId="3A24CBA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（3）每个交易日日终在扣除国债期货合约需缴纳的交易保证金后，保持不低于基金资产净值5%的现金或者到期日在一年以内的政府债券，其中现金不包括结算备付金、存出保证金和应收申购款等；</w:t>
      </w:r>
    </w:p>
    <w:p w14:paraId="30A59D0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（4）本基金持有一家公司发行的证券（不含本基金所投资的证券投资基金基金份额且同一家公司在境内和香港同时上市的A+H股合计计算），其市值不超过基金资产净值的10%；</w:t>
      </w:r>
    </w:p>
    <w:p w14:paraId="5C86342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本基金管理人管理的且在本基金托管人处托管的全部基金持有一家公司发行的证券（不含本基金所投资的证券投资基金基金份额且同一家公司在境内和香港同时上市的A+H股合计计算），不超过该证券的10%，完全按照有关指数的构成比例进行证券投资的基金品种可以不受此条款规定的比例限制；</w:t>
      </w:r>
    </w:p>
    <w:p w14:paraId="238C1D8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（6）本基金投资于同一原始权益人的各类资产支持证券的比例，不得超过基金资产净值的10%；</w:t>
      </w:r>
    </w:p>
    <w:p w14:paraId="5156927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（7）本基金持有的全部资产支持证券，其市值不得超过基金资产净值的20%；</w:t>
      </w:r>
    </w:p>
    <w:p w14:paraId="013D12A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（8）本基金持有的同一（指同一信用级别）资产支持证券的比例，不得超过该资产支持证券规模的10%；</w:t>
      </w:r>
    </w:p>
    <w:p w14:paraId="1F01787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（9）本基金管理人管理的且在本基金托管人处托管的全部基金投资于同一原始权益人的各类资产支持证券，不得超过其各类资产支持证券合计规模的10%；</w:t>
      </w:r>
    </w:p>
    <w:p w14:paraId="167676D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（10）基金财产参与股票发行申购，本基金所申报的金额不超过本基金的总资产，本基金所申报的股票数量不超过拟发行股票公司本次发行股票的总量；</w:t>
      </w:r>
    </w:p>
    <w:p w14:paraId="59BA221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11）本基金管理人管理的且在本基金托管人处托管的全部开放式基金（包括开放式基金以及处于开放期的定期开放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基金品种以及中国证监会认定的特殊投资组合可不受前述比例限制；</w:t>
      </w:r>
    </w:p>
    <w:p w14:paraId="54BB620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12）本基金主动投资于流动性受限资产的市值合计不得超过该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56CC4B2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13</w:t>
      </w:r>
      <w:r>
        <w:rPr>
          <w:rFonts w:ascii="彩虹粗仿宋" w:eastAsia="彩虹粗仿宋" w:hAnsi="宋体" w:cs="Arial" w:hint="eastAsia"/>
          <w:color w:val="000000" w:themeColor="text1"/>
          <w:kern w:val="0"/>
          <w:sz w:val="24"/>
          <w:szCs w:val="24"/>
        </w:rPr>
        <w:t>）本基金资产总值不超过基金资产净值的140%；</w:t>
      </w:r>
    </w:p>
    <w:p w14:paraId="766B99D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14</w:t>
      </w:r>
      <w:r>
        <w:rPr>
          <w:rFonts w:ascii="彩虹粗仿宋" w:eastAsia="彩虹粗仿宋" w:hAnsi="宋体" w:cs="Arial" w:hint="eastAsia"/>
          <w:color w:val="000000" w:themeColor="text1"/>
          <w:kern w:val="0"/>
          <w:sz w:val="24"/>
          <w:szCs w:val="24"/>
        </w:rPr>
        <w:t>）本基金参与国债期货交易，需遵循下述投资比例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18FAA1C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15</w:t>
      </w:r>
      <w:r>
        <w:rPr>
          <w:rFonts w:ascii="彩虹粗仿宋" w:eastAsia="彩虹粗仿宋" w:hAnsi="宋体" w:cs="Arial" w:hint="eastAsia"/>
          <w:color w:val="000000" w:themeColor="text1"/>
          <w:kern w:val="0"/>
          <w:sz w:val="24"/>
          <w:szCs w:val="24"/>
        </w:rPr>
        <w:t>）本基金持有单只公开发行的证券公司短期公司债券，其市值不得超过本基金资产净值的10%；</w:t>
      </w:r>
    </w:p>
    <w:p w14:paraId="3B8B04B1"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16</w:t>
      </w:r>
      <w:r>
        <w:rPr>
          <w:rFonts w:ascii="彩虹粗仿宋" w:eastAsia="彩虹粗仿宋" w:hAnsi="宋体" w:cs="Arial" w:hint="eastAsia"/>
          <w:color w:val="000000" w:themeColor="text1"/>
          <w:kern w:val="0"/>
          <w:sz w:val="24"/>
          <w:szCs w:val="24"/>
        </w:rPr>
        <w:t>）本基金投资存托凭证的比例限制依照境内上市交易的股票执行，与境内上市交易的股票合并计算；</w:t>
      </w:r>
    </w:p>
    <w:p w14:paraId="5F3FDF1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17</w:t>
      </w:r>
      <w:r>
        <w:rPr>
          <w:rFonts w:ascii="彩虹粗仿宋" w:eastAsia="彩虹粗仿宋" w:hAnsi="宋体" w:cs="Arial" w:hint="eastAsia"/>
          <w:color w:val="000000" w:themeColor="text1"/>
          <w:kern w:val="0"/>
          <w:sz w:val="24"/>
          <w:szCs w:val="24"/>
        </w:rPr>
        <w:t>）本基金不得持有基金中基金；</w:t>
      </w:r>
    </w:p>
    <w:p w14:paraId="305DE7D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18</w:t>
      </w:r>
      <w:r>
        <w:rPr>
          <w:rFonts w:ascii="彩虹粗仿宋" w:eastAsia="彩虹粗仿宋" w:hAnsi="宋体" w:cs="Arial" w:hint="eastAsia"/>
          <w:color w:val="000000" w:themeColor="text1"/>
          <w:kern w:val="0"/>
          <w:sz w:val="24"/>
          <w:szCs w:val="24"/>
        </w:rPr>
        <w:t>）除ETF联接基金以外，本基金管理人管理的且在本基金托管人处托管的全部基金持有单只基金不得超过被投资基金净资产的20%，被投资基金净资产规模以最近定期报告披露的规模为准；</w:t>
      </w:r>
    </w:p>
    <w:p w14:paraId="1D95152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19</w:t>
      </w:r>
      <w:r>
        <w:rPr>
          <w:rFonts w:ascii="彩虹粗仿宋" w:eastAsia="彩虹粗仿宋" w:hAnsi="宋体" w:cs="Arial" w:hint="eastAsia"/>
          <w:color w:val="000000" w:themeColor="text1"/>
          <w:kern w:val="0"/>
          <w:sz w:val="24"/>
          <w:szCs w:val="24"/>
        </w:rPr>
        <w:t>）本基金不得持有具有复杂、衍生品性质的基金份额，包括分级基金和中国证监会认定的其他基金份额，中国证监会认可或批准的特殊基金除外；</w:t>
      </w:r>
    </w:p>
    <w:p w14:paraId="7B5A3DE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w:t>
      </w:r>
      <w:r>
        <w:rPr>
          <w:rFonts w:ascii="彩虹粗仿宋" w:eastAsia="彩虹粗仿宋" w:hAnsi="宋体" w:cs="Arial"/>
          <w:color w:val="000000" w:themeColor="text1"/>
          <w:kern w:val="0"/>
          <w:sz w:val="24"/>
          <w:szCs w:val="24"/>
        </w:rPr>
        <w:t>20</w:t>
      </w:r>
      <w:r>
        <w:rPr>
          <w:rFonts w:ascii="彩虹粗仿宋" w:eastAsia="彩虹粗仿宋" w:hAnsi="宋体" w:cs="Arial" w:hint="eastAsia"/>
          <w:color w:val="000000" w:themeColor="text1"/>
          <w:kern w:val="0"/>
          <w:sz w:val="24"/>
          <w:szCs w:val="24"/>
        </w:rPr>
        <w:t>）本基金投资其他基金时，被投资基金的运作期限应当不少于1年，最近定期报告披露的基金净资产应当不低于1亿元；</w:t>
      </w:r>
    </w:p>
    <w:p w14:paraId="5005CFF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21</w:t>
      </w:r>
      <w:r>
        <w:rPr>
          <w:rFonts w:ascii="彩虹粗仿宋" w:eastAsia="彩虹粗仿宋" w:hAnsi="宋体" w:cs="Arial" w:hint="eastAsia"/>
          <w:color w:val="000000" w:themeColor="text1"/>
          <w:kern w:val="0"/>
          <w:sz w:val="24"/>
          <w:szCs w:val="24"/>
        </w:rPr>
        <w:t>）法律法规及中国证监会规定的和《基金合同》约定的其他投资限制。</w:t>
      </w:r>
    </w:p>
    <w:p w14:paraId="0A07F2C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因证券市场波动、基金规模变动等基金管理人之外的因素致使基金投资不符合上述（</w:t>
      </w:r>
      <w:r>
        <w:rPr>
          <w:rFonts w:ascii="彩虹粗仿宋" w:eastAsia="彩虹粗仿宋" w:hAnsi="宋体" w:cs="Arial"/>
          <w:color w:val="000000" w:themeColor="text1"/>
          <w:kern w:val="0"/>
          <w:sz w:val="24"/>
          <w:szCs w:val="24"/>
        </w:rPr>
        <w:t>18</w:t>
      </w:r>
      <w:r>
        <w:rPr>
          <w:rFonts w:ascii="彩虹粗仿宋" w:eastAsia="彩虹粗仿宋" w:hAnsi="宋体" w:cs="Arial" w:hint="eastAsia"/>
          <w:color w:val="000000" w:themeColor="text1"/>
          <w:kern w:val="0"/>
          <w:sz w:val="24"/>
          <w:szCs w:val="24"/>
        </w:rPr>
        <w:t>）规定的投资比例的，基金管理人应当在20个交易日内进行调整，但中国证监会规定的特殊情形除外。除上述（3）、（12）、（</w:t>
      </w:r>
      <w:r>
        <w:rPr>
          <w:rFonts w:ascii="彩虹粗仿宋" w:eastAsia="彩虹粗仿宋" w:hAnsi="宋体" w:cs="Arial"/>
          <w:color w:val="000000" w:themeColor="text1"/>
          <w:kern w:val="0"/>
          <w:sz w:val="24"/>
          <w:szCs w:val="24"/>
        </w:rPr>
        <w:t>18</w:t>
      </w:r>
      <w:r>
        <w:rPr>
          <w:rFonts w:ascii="彩虹粗仿宋" w:eastAsia="彩虹粗仿宋" w:hAnsi="宋体" w:cs="Arial" w:hint="eastAsia"/>
          <w:color w:val="000000" w:themeColor="text1"/>
          <w:kern w:val="0"/>
          <w:sz w:val="24"/>
          <w:szCs w:val="24"/>
        </w:rPr>
        <w:t>）情形外，因证券/期货市场波动、证券发行人合并、基金规模变动等基金管理人之外的因素致使基金投资比例不符合上述规定投资比例的，基金管理人应当在10个交易日内进行调整，但中国证监会规定的特殊情形及法律法规另有规定的除外。</w:t>
      </w:r>
    </w:p>
    <w:p w14:paraId="3A15B3A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bookmarkEnd w:id="6"/>
    </w:p>
    <w:p w14:paraId="53731FF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71D46C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侧袋机制实施期间，本部分约定的投资组合比例、组合限制等约定仅适用于主袋账户。</w:t>
      </w:r>
    </w:p>
    <w:p w14:paraId="7DAEA05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侧袋机制的具体规则依照相关法律法规的规定和《基金合同》的约定执行。</w:t>
      </w:r>
    </w:p>
    <w:p w14:paraId="35B072F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（三）基金托管人</w:t>
      </w:r>
      <w:bookmarkStart w:id="7" w:name="OLE_LINK1"/>
      <w:r>
        <w:rPr>
          <w:rFonts w:ascii="彩虹粗仿宋" w:eastAsia="彩虹粗仿宋" w:hAnsi="宋体" w:cs="Arial" w:hint="eastAsia"/>
          <w:color w:val="000000" w:themeColor="text1"/>
          <w:kern w:val="0"/>
          <w:sz w:val="24"/>
          <w:szCs w:val="24"/>
        </w:rPr>
        <w:t>根据有关法律法规的规定及《基金合同》的约定，</w:t>
      </w:r>
      <w:bookmarkEnd w:id="7"/>
      <w:r>
        <w:rPr>
          <w:rFonts w:ascii="彩虹粗仿宋" w:eastAsia="彩虹粗仿宋" w:hAnsi="宋体" w:cs="Arial" w:hint="eastAsia"/>
          <w:color w:val="000000" w:themeColor="text1"/>
          <w:kern w:val="0"/>
          <w:sz w:val="24"/>
          <w:szCs w:val="24"/>
        </w:rPr>
        <w:t>对本托管协议第十五条第（十二）款基金投资禁止行为通过事后监督方式进行监督。</w:t>
      </w:r>
    </w:p>
    <w:p w14:paraId="4D370A0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C47AF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（四）基金托管人根据有关法律法规的规定及《基金合同》的约定，对基金管理人投资流通受限证券进行监督。</w:t>
      </w:r>
    </w:p>
    <w:p w14:paraId="11AEC8F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基金管理人投资流通受限证券，应事先根据中国证监会相关规定，明确基金投资流通受限证券的比例，制订严格的投资决策流程和风险控制制度，防范流动性风险、法律风险和操作风险等各种风险。</w:t>
      </w:r>
    </w:p>
    <w:p w14:paraId="795FDCF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1.本基金投资的流通受限证券须为经中国证监会批准的非公开发行股票、公开发行股票网下配售部分等在发行时明确一定期限锁定期的可交易证券，不包括由</w:t>
      </w:r>
      <w:r>
        <w:rPr>
          <w:rFonts w:ascii="彩虹粗仿宋" w:eastAsia="彩虹粗仿宋" w:hAnsi="宋体" w:cs="Arial" w:hint="eastAsia"/>
          <w:color w:val="000000" w:themeColor="text1"/>
          <w:kern w:val="0"/>
          <w:sz w:val="24"/>
          <w:szCs w:val="24"/>
        </w:rPr>
        <w:lastRenderedPageBreak/>
        <w:t>于发布重大消息或其他原因而临时停牌的证券、已发行未上市证券、回购交易中的质押券等流通受限证券。本基金不投资有锁定期但锁定期不明确的证券。</w:t>
      </w:r>
    </w:p>
    <w:p w14:paraId="6DAD66B1"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本基金投资的流通受限证券限于可由中国证券登记结算有限责任公司或中央国债登记结算有限责任公司负责登记和存管，并可在证券交易所或全国银行间债券市场交易的证券。</w:t>
      </w:r>
    </w:p>
    <w:p w14:paraId="3049888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006FF4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本基金投资流通受限证券，不得预付任何形式的保证金，法律法规另有规定的从其规定。</w:t>
      </w:r>
    </w:p>
    <w:p w14:paraId="777D148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489339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bookmarkStart w:id="8" w:name="OLE_LINK108"/>
      <w:bookmarkStart w:id="9" w:name="OLE_LINK107"/>
      <w:r>
        <w:rPr>
          <w:rFonts w:ascii="彩虹粗仿宋" w:eastAsia="彩虹粗仿宋" w:hAnsi="宋体" w:cs="Arial" w:hint="eastAsia"/>
          <w:color w:val="000000" w:themeColor="text1"/>
          <w:kern w:val="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由基金管理人承担，</w:t>
      </w:r>
      <w:r>
        <w:rPr>
          <w:rFonts w:ascii="彩虹粗仿宋" w:eastAsia="彩虹粗仿宋" w:hint="eastAsia"/>
          <w:color w:val="000000" w:themeColor="text1"/>
          <w:sz w:val="24"/>
        </w:rPr>
        <w:t>基金托管人不承担任何责任。</w:t>
      </w:r>
      <w:r>
        <w:rPr>
          <w:rFonts w:ascii="彩虹粗仿宋" w:eastAsia="彩虹粗仿宋" w:hAnsi="宋体" w:cs="Arial" w:hint="eastAsia"/>
          <w:color w:val="000000" w:themeColor="text1"/>
          <w:kern w:val="0"/>
          <w:sz w:val="24"/>
          <w:szCs w:val="24"/>
        </w:rPr>
        <w:t>如因基金管理人原因导致本基金出现损失致使基金托管人承担连带赔偿责任的，基金管理人应赔偿基金托管人由此遭受的损失。</w:t>
      </w:r>
    </w:p>
    <w:bookmarkEnd w:id="8"/>
    <w:bookmarkEnd w:id="9"/>
    <w:p w14:paraId="6E8C284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1F112A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（1）中国证监会批准发行非公开发行股票的批准文件。</w:t>
      </w:r>
    </w:p>
    <w:p w14:paraId="6864ECE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（2）非公开发行股票有关发行数量、发行价格、锁定期等发行资料。</w:t>
      </w:r>
    </w:p>
    <w:p w14:paraId="3917E63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（3）基金拟认购的数量、价格、总成本、账面价值。</w:t>
      </w:r>
    </w:p>
    <w:p w14:paraId="64E6CC4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BB9361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本基金有关投资流通受限证券比例如违反有关限制规定，在合理期限内未能进行及时调整，基金管理人应在两日内编制临时报告书，予以公告。</w:t>
      </w:r>
    </w:p>
    <w:p w14:paraId="133D194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5.相关法律法规对基金投资流通受限证券有新规定的，从其规定。</w:t>
      </w:r>
    </w:p>
    <w:p w14:paraId="2E0C891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1380EA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（六）基金托管人投资监督的准确性和完整性受限于基金管理人、证券经纪商及其他中介机构提供的数据和信息。基金托管人在充分获取所必需数据信息的前提下提供投资监督服务。</w:t>
      </w:r>
    </w:p>
    <w:p w14:paraId="31F41D8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D1EC77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0D8371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（八）若基金托管人发现基金管理人依据交易程序已经生效的指令违反法律、行政法规和其他有关规定，或者违反《基金合同》约定的，应当及时通知基金管理人，由此造成的损失由基金管理人承担。</w:t>
      </w:r>
    </w:p>
    <w:p w14:paraId="21C6532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50720625" w14:textId="77777777" w:rsidR="00A82A5F" w:rsidRDefault="00A82A5F">
      <w:pPr>
        <w:widowControl/>
        <w:adjustRightInd w:val="0"/>
        <w:snapToGrid w:val="0"/>
        <w:ind w:firstLineChars="200" w:firstLine="480"/>
        <w:rPr>
          <w:rFonts w:ascii="彩虹粗仿宋" w:eastAsia="彩虹粗仿宋" w:hAnsi="宋体" w:cs="Arial"/>
          <w:color w:val="000000" w:themeColor="text1"/>
          <w:kern w:val="0"/>
          <w:sz w:val="24"/>
          <w:szCs w:val="24"/>
        </w:rPr>
      </w:pPr>
    </w:p>
    <w:p w14:paraId="41628BA3" w14:textId="77777777" w:rsidR="00A82A5F" w:rsidRDefault="003122C7">
      <w:pPr>
        <w:pStyle w:val="2"/>
        <w:jc w:val="center"/>
        <w:rPr>
          <w:rFonts w:ascii="彩虹粗仿宋" w:eastAsia="彩虹粗仿宋"/>
          <w:color w:val="000000" w:themeColor="text1"/>
        </w:rPr>
      </w:pPr>
      <w:bookmarkStart w:id="10" w:name="_Toc110761796"/>
      <w:bookmarkStart w:id="11" w:name="_Toc118212950"/>
      <w:bookmarkStart w:id="12" w:name="_Toc86727355"/>
      <w:bookmarkStart w:id="13" w:name="_Toc86223242"/>
      <w:bookmarkStart w:id="14" w:name="_Toc86225291"/>
      <w:bookmarkStart w:id="15" w:name="_Toc120435783"/>
      <w:bookmarkStart w:id="16" w:name="_Toc118774803"/>
      <w:bookmarkStart w:id="17" w:name="_Toc108512358"/>
      <w:bookmarkStart w:id="18" w:name="_Toc119402710"/>
      <w:bookmarkStart w:id="19" w:name="_Toc118972648"/>
      <w:bookmarkStart w:id="20" w:name="_Toc89163368"/>
      <w:bookmarkStart w:id="21" w:name="_Toc86726439"/>
      <w:bookmarkStart w:id="22" w:name="_Toc86649722"/>
      <w:bookmarkStart w:id="23" w:name="_Toc86737929"/>
      <w:bookmarkStart w:id="24" w:name="_Toc110830492"/>
      <w:bookmarkStart w:id="25" w:name="_Toc124325888"/>
      <w:bookmarkStart w:id="26" w:name="_Toc110765660"/>
      <w:r>
        <w:rPr>
          <w:rFonts w:ascii="彩虹粗仿宋" w:eastAsia="彩虹粗仿宋" w:hint="eastAsia"/>
          <w:color w:val="000000" w:themeColor="text1"/>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C93D00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（一）基金管理人对基金托管人履行托管职责情况进行核查，核查事项包括基金托管人安全保管基金财产、开设基金财产的资金账户和证券账户等投资所需</w:t>
      </w:r>
      <w:r>
        <w:rPr>
          <w:rFonts w:ascii="彩虹粗仿宋" w:eastAsia="彩虹粗仿宋" w:hAnsi="宋体" w:cs="Arial" w:hint="eastAsia"/>
          <w:color w:val="000000" w:themeColor="text1"/>
          <w:kern w:val="0"/>
          <w:sz w:val="24"/>
          <w:szCs w:val="24"/>
        </w:rPr>
        <w:lastRenderedPageBreak/>
        <w:t>账户、复核基金管理人计算的基金资产净值和各类基金份额净值、根据基金管理人指令办理清算交收、相关信息披露和监督基金投资运作等行为。</w:t>
      </w:r>
    </w:p>
    <w:p w14:paraId="4DA0278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书面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41A676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bookmarkStart w:id="27" w:name="OLE_LINK110"/>
      <w:bookmarkStart w:id="28" w:name="OLE_LINK111"/>
      <w:bookmarkStart w:id="29" w:name="OLE_LINK109"/>
      <w:r>
        <w:rPr>
          <w:rFonts w:ascii="彩虹粗仿宋" w:eastAsia="彩虹粗仿宋" w:hAnsi="宋体" w:cs="Arial" w:hint="eastAsia"/>
          <w:color w:val="000000" w:themeColor="text1"/>
          <w:kern w:val="0"/>
          <w:sz w:val="24"/>
          <w:szCs w:val="24"/>
        </w:rPr>
        <w:t>（三）基金管理人发现基金托管人有重大违规行为，</w:t>
      </w:r>
      <w:r>
        <w:rPr>
          <w:rFonts w:ascii="彩虹粗仿宋" w:eastAsia="彩虹粗仿宋" w:hAnsi="宋体" w:cs="Arial"/>
          <w:color w:val="000000" w:themeColor="text1"/>
          <w:kern w:val="0"/>
          <w:sz w:val="24"/>
          <w:szCs w:val="24"/>
        </w:rPr>
        <w:t>应</w:t>
      </w:r>
      <w:r>
        <w:rPr>
          <w:rFonts w:ascii="彩虹粗仿宋" w:eastAsia="彩虹粗仿宋" w:hAnsi="宋体" w:cs="Arial" w:hint="eastAsia"/>
          <w:color w:val="000000" w:themeColor="text1"/>
          <w:kern w:val="0"/>
          <w:sz w:val="24"/>
          <w:szCs w:val="24"/>
        </w:rPr>
        <w:t>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w:t>
      </w:r>
      <w:r>
        <w:rPr>
          <w:rFonts w:ascii="彩虹粗仿宋" w:eastAsia="彩虹粗仿宋" w:hAnsi="宋体" w:cs="Arial"/>
          <w:color w:val="000000" w:themeColor="text1"/>
          <w:kern w:val="0"/>
          <w:sz w:val="24"/>
          <w:szCs w:val="24"/>
        </w:rPr>
        <w:t>应</w:t>
      </w:r>
      <w:r>
        <w:rPr>
          <w:rFonts w:ascii="彩虹粗仿宋" w:eastAsia="彩虹粗仿宋" w:hAnsi="宋体" w:cs="Arial" w:hint="eastAsia"/>
          <w:color w:val="000000" w:themeColor="text1"/>
          <w:kern w:val="0"/>
          <w:sz w:val="24"/>
          <w:szCs w:val="24"/>
        </w:rPr>
        <w:t>报告中国证监会。</w:t>
      </w:r>
    </w:p>
    <w:bookmarkEnd w:id="27"/>
    <w:bookmarkEnd w:id="28"/>
    <w:bookmarkEnd w:id="29"/>
    <w:p w14:paraId="53FD94B6" w14:textId="77777777" w:rsidR="00A82A5F" w:rsidRDefault="00A82A5F">
      <w:pPr>
        <w:widowControl/>
        <w:adjustRightInd w:val="0"/>
        <w:snapToGrid w:val="0"/>
        <w:ind w:firstLineChars="200" w:firstLine="480"/>
        <w:rPr>
          <w:rFonts w:ascii="彩虹粗仿宋" w:eastAsia="彩虹粗仿宋" w:hAnsi="宋体" w:cs="Arial"/>
          <w:color w:val="000000" w:themeColor="text1"/>
          <w:kern w:val="0"/>
          <w:sz w:val="24"/>
          <w:szCs w:val="24"/>
        </w:rPr>
      </w:pPr>
    </w:p>
    <w:p w14:paraId="423EF018" w14:textId="77777777" w:rsidR="00A82A5F" w:rsidRDefault="003122C7">
      <w:pPr>
        <w:pStyle w:val="2"/>
        <w:jc w:val="center"/>
        <w:rPr>
          <w:rFonts w:ascii="彩虹粗仿宋" w:eastAsia="彩虹粗仿宋"/>
          <w:color w:val="000000" w:themeColor="text1"/>
        </w:rPr>
      </w:pPr>
      <w:bookmarkStart w:id="30" w:name="_Toc108512359"/>
      <w:bookmarkStart w:id="31" w:name="_Toc118774804"/>
      <w:bookmarkStart w:id="32" w:name="_Toc118212951"/>
      <w:bookmarkStart w:id="33" w:name="_Toc110765661"/>
      <w:bookmarkStart w:id="34" w:name="_Toc110761797"/>
      <w:bookmarkStart w:id="35" w:name="_Toc86727356"/>
      <w:bookmarkStart w:id="36" w:name="_Toc84133786"/>
      <w:bookmarkStart w:id="37" w:name="_Toc110830493"/>
      <w:bookmarkStart w:id="38" w:name="_Toc86726440"/>
      <w:bookmarkStart w:id="39" w:name="_Toc84234435"/>
      <w:bookmarkStart w:id="40" w:name="_Toc89163369"/>
      <w:bookmarkStart w:id="41" w:name="_Toc86649723"/>
      <w:bookmarkStart w:id="42" w:name="_Toc86223243"/>
      <w:bookmarkStart w:id="43" w:name="_Toc86737930"/>
      <w:bookmarkStart w:id="44" w:name="_Toc124325889"/>
      <w:bookmarkStart w:id="45" w:name="_Toc84234388"/>
      <w:bookmarkStart w:id="46" w:name="_Toc120435784"/>
      <w:bookmarkStart w:id="47" w:name="_Toc119402711"/>
      <w:bookmarkStart w:id="48" w:name="_Toc86204789"/>
      <w:bookmarkStart w:id="49" w:name="_Toc118972649"/>
      <w:bookmarkStart w:id="50" w:name="_Toc86225292"/>
      <w:r>
        <w:rPr>
          <w:rFonts w:ascii="彩虹粗仿宋" w:eastAsia="彩虹粗仿宋" w:hint="eastAsia"/>
          <w:color w:val="000000" w:themeColor="text1"/>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38DAAB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（一）基金财产保管的原则</w:t>
      </w:r>
    </w:p>
    <w:p w14:paraId="6CDB6B8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1.基金财产应独立于基金管理人、基金托管人的固有财产。</w:t>
      </w:r>
    </w:p>
    <w:p w14:paraId="38B8D83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2.基金托管人应安全保管基金财产。</w:t>
      </w:r>
    </w:p>
    <w:p w14:paraId="264C46A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3.基金托管人按照规定开设基金财产的资金账户和证券账户等投资所需账户。</w:t>
      </w:r>
    </w:p>
    <w:p w14:paraId="573F016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4.基金托管人对所托管的不同基金财产分别设置账户，分账管理，独立核算，确保基金财产的完整与独立。</w:t>
      </w:r>
    </w:p>
    <w:p w14:paraId="2725C7F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6F75897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bookmarkStart w:id="51" w:name="OLE_LINK112"/>
      <w:bookmarkStart w:id="52" w:name="OLE_LINK113"/>
      <w:r>
        <w:rPr>
          <w:rFonts w:ascii="彩虹粗仿宋" w:eastAsia="彩虹粗仿宋" w:hAnsi="宋体" w:cs="Arial" w:hint="eastAsia"/>
          <w:color w:val="000000" w:themeColor="text1"/>
          <w:kern w:val="0"/>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w:t>
      </w:r>
      <w:r>
        <w:rPr>
          <w:rFonts w:ascii="彩虹粗仿宋" w:eastAsia="彩虹粗仿宋" w:hAnsi="宋体" w:cs="Arial" w:hint="eastAsia"/>
          <w:color w:val="000000" w:themeColor="text1"/>
          <w:kern w:val="0"/>
          <w:sz w:val="24"/>
          <w:szCs w:val="24"/>
        </w:rPr>
        <w:lastRenderedPageBreak/>
        <w:t>理人应负责向有关当事人追偿基金财产的损失，基金托管人对此不承担任何责任，但应给予积极的配合和协助。</w:t>
      </w:r>
    </w:p>
    <w:bookmarkEnd w:id="51"/>
    <w:bookmarkEnd w:id="52"/>
    <w:p w14:paraId="0B26F37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7.除依据法律法规和《基金合同》的规定外，基金托管人不得委托第三人托管基金财产。</w:t>
      </w:r>
    </w:p>
    <w:p w14:paraId="7058063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（二）基金募集期间及募集资金的验资</w:t>
      </w:r>
    </w:p>
    <w:p w14:paraId="7BF30C7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1.基金募集期间募集的资金应存于基金管理人在基金托管人的营业机构开立的“基金募集专户”。该账户由基金管理人开立并管理。</w:t>
      </w:r>
    </w:p>
    <w:p w14:paraId="36335E0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募集期满或基金停止募集时，基金募集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14:paraId="6BABBA3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3.若基金募集期限届满，未能达到《基金合同》生效的条件，由基金管理人按规定办理退款等事宜，基金托管人应提供必要的配合。</w:t>
      </w:r>
    </w:p>
    <w:p w14:paraId="3613B13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（三）基金托管资金账户的开立和管理</w:t>
      </w:r>
    </w:p>
    <w:p w14:paraId="2C83424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应以基金的名义在其营业机构开立基金的托管资金账户，并根据基金管理人合法合规的指令办理资金收付。户名原则上应当包含开户主体和产品名称字样。如法律法规或监管部门另有规定的，从其规定。本基金的银行预留印鉴</w:t>
      </w:r>
      <w:r>
        <w:rPr>
          <w:rFonts w:ascii="彩虹粗仿宋" w:eastAsia="彩虹粗仿宋" w:hAnsi="宋体" w:cs="Arial" w:hint="eastAsia"/>
          <w:color w:val="000000" w:themeColor="text1"/>
          <w:sz w:val="24"/>
        </w:rPr>
        <w:t>由基金托管人保管和使用</w:t>
      </w:r>
      <w:r>
        <w:rPr>
          <w:rFonts w:ascii="彩虹粗仿宋" w:eastAsia="彩虹粗仿宋" w:hAnsi="宋体" w:cs="Arial" w:hint="eastAsia"/>
          <w:color w:val="000000" w:themeColor="text1"/>
          <w:kern w:val="0"/>
          <w:sz w:val="24"/>
          <w:szCs w:val="24"/>
        </w:rPr>
        <w:t>。</w:t>
      </w:r>
    </w:p>
    <w:p w14:paraId="42939FA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3461748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3.基金托管资金账户的开立和管理应符合银行业监督管理机构的有关规定。</w:t>
      </w:r>
    </w:p>
    <w:p w14:paraId="19C15B1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4.在符合法律法规规定的条件下，基金托管人可以通过基金托管人专用账户办理基金资产的支付。</w:t>
      </w:r>
    </w:p>
    <w:p w14:paraId="29CFF2E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5.管理人应于托管产品清盘后及时完成收益兑付、费用结清及其他应收应付款项资金划转，在确保后续不再发生款项进出后的10个工作日内向托管人发出销户申请。</w:t>
      </w:r>
    </w:p>
    <w:p w14:paraId="632E495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（四）基金证券账户和结算备付金账户的开立和管理</w:t>
      </w:r>
    </w:p>
    <w:p w14:paraId="01BFF95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1.基金托管人在中国证券登记结算有限责任公司为基金开立基金托管人与基金联名的证券账户。</w:t>
      </w:r>
    </w:p>
    <w:p w14:paraId="3CCCCEE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8294C8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3.基金证券账户的开立和证券账户卡的保管由基金托管人负责，账户资产的管理和运用由基金管理人负责。</w:t>
      </w:r>
    </w:p>
    <w:p w14:paraId="0369D02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证券账户开户费由基金管理人先行垫付</w:t>
      </w:r>
      <w:bookmarkStart w:id="53" w:name="OLE_LINK115"/>
      <w:bookmarkStart w:id="54" w:name="OLE_LINK114"/>
      <w:r>
        <w:rPr>
          <w:rFonts w:ascii="彩虹粗仿宋" w:eastAsia="彩虹粗仿宋" w:hAnsi="宋体" w:cs="Arial" w:hint="eastAsia"/>
          <w:color w:val="000000" w:themeColor="text1"/>
          <w:kern w:val="0"/>
          <w:sz w:val="24"/>
          <w:szCs w:val="24"/>
        </w:rPr>
        <w:t>,</w:t>
      </w:r>
      <w:bookmarkEnd w:id="53"/>
      <w:bookmarkEnd w:id="54"/>
      <w:r>
        <w:rPr>
          <w:rFonts w:ascii="彩虹粗仿宋" w:eastAsia="彩虹粗仿宋" w:hAnsi="宋体" w:cs="Arial" w:hint="eastAsia"/>
          <w:color w:val="000000" w:themeColor="text1"/>
          <w:kern w:val="0"/>
          <w:sz w:val="24"/>
          <w:szCs w:val="24"/>
        </w:rPr>
        <w:t>待托管产品启始运营后,基金管理人可向基金托管人发送划款指令,将代垫开户费从本基金托管资金账户中扣还基金管理人。</w:t>
      </w:r>
    </w:p>
    <w:p w14:paraId="0D6249D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EB7C4B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5.账户注销时，在遵守中国证券登记结算有限责任公司的相关规定下，由管理人和托管人协商确认主要办理人。账户注销期间，主要办理人如需另一方提供配合的，另一方应予以配合。</w:t>
      </w:r>
    </w:p>
    <w:p w14:paraId="3B02E492"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907761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（五）银行间账户的开设和管理</w:t>
      </w:r>
    </w:p>
    <w:p w14:paraId="2E49AA38"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5B13EEC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（六）其他账户的开立和管理</w:t>
      </w:r>
    </w:p>
    <w:p w14:paraId="26BCFAC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AEC6E2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2.法律法规等有关规定对相关账户的开立和管理另有规定的，从其规定办理。</w:t>
      </w:r>
    </w:p>
    <w:p w14:paraId="1B4A457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（七）基金财产投资的有关有价凭证等的保管</w:t>
      </w:r>
    </w:p>
    <w:p w14:paraId="0B58307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基金财产投资的有关实物证券、银行存款开户证实书等有价凭证由基金托管人存放于基金托管人的保管库，也可存入</w:t>
      </w:r>
      <w:r>
        <w:rPr>
          <w:rFonts w:ascii="彩虹粗仿宋" w:eastAsia="彩虹粗仿宋" w:hAnsi="宋体" w:cs="Arial" w:hint="eastAsia"/>
          <w:color w:val="000000" w:themeColor="text1"/>
          <w:sz w:val="24"/>
        </w:rPr>
        <w:t>法律法规有关规定允许的各类</w:t>
      </w:r>
      <w:r>
        <w:rPr>
          <w:rFonts w:ascii="彩虹粗仿宋" w:eastAsia="彩虹粗仿宋" w:hAnsi="宋体" w:cs="Arial" w:hint="eastAsia"/>
          <w:color w:val="000000" w:themeColor="text1"/>
          <w:kern w:val="0"/>
          <w:sz w:val="24"/>
          <w:szCs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148023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（八）与基金财产有关的重大合同的保管</w:t>
      </w:r>
    </w:p>
    <w:p w14:paraId="528A190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按照法律法规的规定执行。</w:t>
      </w:r>
    </w:p>
    <w:p w14:paraId="62DCC9F3"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对于无法取得二份以上的正本的，基金管理人应向基金托管人提供加盖授权业务章的合同复印件或传真件，未经双方协商或未在合同约定范围内，合同原件不得转移。</w:t>
      </w:r>
    </w:p>
    <w:p w14:paraId="16EDFC1B" w14:textId="77777777" w:rsidR="00A82A5F" w:rsidRDefault="00A82A5F">
      <w:pPr>
        <w:rPr>
          <w:rFonts w:ascii="宋体" w:eastAsia="宋体" w:hAnsi="宋体"/>
          <w:color w:val="000000" w:themeColor="text1"/>
          <w:sz w:val="24"/>
        </w:rPr>
      </w:pPr>
    </w:p>
    <w:p w14:paraId="42ED48E3" w14:textId="77777777" w:rsidR="00A82A5F" w:rsidRDefault="003122C7">
      <w:pPr>
        <w:pStyle w:val="2"/>
        <w:jc w:val="center"/>
        <w:rPr>
          <w:rFonts w:ascii="彩虹粗仿宋" w:eastAsia="彩虹粗仿宋"/>
          <w:color w:val="000000" w:themeColor="text1"/>
        </w:rPr>
      </w:pPr>
      <w:bookmarkStart w:id="55" w:name="_Toc119402712"/>
      <w:bookmarkStart w:id="56" w:name="_Toc118972650"/>
      <w:bookmarkStart w:id="57" w:name="_Toc118774805"/>
      <w:bookmarkStart w:id="58" w:name="_Toc86204790"/>
      <w:bookmarkStart w:id="59" w:name="_Toc118212952"/>
      <w:bookmarkStart w:id="60" w:name="_Toc120435785"/>
      <w:bookmarkStart w:id="61" w:name="_Toc86726441"/>
      <w:bookmarkStart w:id="62" w:name="_Toc124325890"/>
      <w:bookmarkStart w:id="63" w:name="_Toc86737931"/>
      <w:bookmarkStart w:id="64" w:name="_Toc110830494"/>
      <w:bookmarkStart w:id="65" w:name="_Toc84133787"/>
      <w:bookmarkStart w:id="66" w:name="_Toc89163370"/>
      <w:bookmarkStart w:id="67" w:name="_Toc84234389"/>
      <w:bookmarkStart w:id="68" w:name="_Toc110765662"/>
      <w:bookmarkStart w:id="69" w:name="_Toc86223244"/>
      <w:bookmarkStart w:id="70" w:name="_Toc84234436"/>
      <w:bookmarkStart w:id="71" w:name="_Toc86649724"/>
      <w:bookmarkStart w:id="72" w:name="_Toc86225293"/>
      <w:bookmarkStart w:id="73" w:name="_Toc86727357"/>
      <w:bookmarkStart w:id="74" w:name="_Toc108512360"/>
      <w:bookmarkStart w:id="75" w:name="_Toc110761798"/>
      <w:r>
        <w:rPr>
          <w:rFonts w:ascii="彩虹粗仿宋" w:eastAsia="彩虹粗仿宋" w:hint="eastAsia"/>
          <w:color w:val="000000" w:themeColor="text1"/>
        </w:rPr>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412055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基金管理人在运用基金财产时向基金托管人发送资金划拨及其他款项付款指令，基金托管人执行基金管理人的指令、办理基金名下的资金往来等有关事项。</w:t>
      </w:r>
    </w:p>
    <w:p w14:paraId="626351B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（一）基金管理人对发送指令人员的书面授权</w:t>
      </w:r>
    </w:p>
    <w:p w14:paraId="520AB29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w:t>
      </w:r>
      <w:r>
        <w:rPr>
          <w:rFonts w:ascii="彩虹粗仿宋" w:eastAsia="彩虹粗仿宋" w:hAnsi="宋体" w:cs="Arial"/>
          <w:color w:val="000000" w:themeColor="text1"/>
          <w:kern w:val="0"/>
          <w:sz w:val="24"/>
          <w:szCs w:val="24"/>
        </w:rPr>
        <w:t>协议</w:t>
      </w:r>
      <w:r>
        <w:rPr>
          <w:rFonts w:ascii="彩虹粗仿宋" w:eastAsia="彩虹粗仿宋" w:hAnsi="宋体" w:cs="Arial" w:hint="eastAsia"/>
          <w:color w:val="000000" w:themeColor="text1"/>
          <w:kern w:val="0"/>
          <w:sz w:val="24"/>
          <w:szCs w:val="24"/>
        </w:rPr>
        <w:t>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7F71B1FA"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47C5B85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件内容执行有关业务，如果授权文件原件与托管人收到的扫描件不同，由此产生的责任由管理人承担。</w:t>
      </w:r>
    </w:p>
    <w:p w14:paraId="073D801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管理人更换被授权人、更改或终止对被授权人的授权、变更预留印鉴应按上述要求提供新的授权文件。在授权变更生效前，托管人仍应按原授权文件执行指令，管理人不得否认其效力。</w:t>
      </w:r>
    </w:p>
    <w:p w14:paraId="687FAD6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托管人更换接</w:t>
      </w:r>
      <w:r>
        <w:rPr>
          <w:rFonts w:ascii="彩虹粗仿宋" w:eastAsia="彩虹粗仿宋" w:hAnsi="宋体" w:cs="Arial"/>
          <w:color w:val="000000" w:themeColor="text1"/>
          <w:kern w:val="0"/>
          <w:sz w:val="24"/>
          <w:szCs w:val="24"/>
        </w:rPr>
        <w:t>收</w:t>
      </w:r>
      <w:r>
        <w:rPr>
          <w:rFonts w:ascii="彩虹粗仿宋" w:eastAsia="彩虹粗仿宋" w:hAnsi="宋体" w:cs="Arial" w:hint="eastAsia"/>
          <w:color w:val="000000" w:themeColor="text1"/>
          <w:kern w:val="0"/>
          <w:sz w:val="24"/>
          <w:szCs w:val="24"/>
        </w:rPr>
        <w:t>管理人指令的传真号或邮箱地址，应提前通知管理人。基金管理人和基金托管人对授权文件负有保密义务，其内容不得向被授权人及相关操作人员以外的任何人泄露。但法律法规规定或有权机关要求的除外。</w:t>
      </w:r>
    </w:p>
    <w:p w14:paraId="052D43D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（二）指令的内容</w:t>
      </w:r>
    </w:p>
    <w:p w14:paraId="3490FBC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1.指令包括付款指令以及其他资金划拨指令等。</w:t>
      </w:r>
    </w:p>
    <w:p w14:paraId="3918E01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2.基金管理人发给基金托管人的指令应写明款项事由、支付时间、到账时间、金额、收付款账户等，加盖预留印鉴并由被授权人签字。</w:t>
      </w:r>
    </w:p>
    <w:p w14:paraId="0A5A5696"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（三）指令的发送、确认及执行的时间和程序</w:t>
      </w:r>
    </w:p>
    <w:p w14:paraId="46B865C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1.指令的发送</w:t>
      </w:r>
    </w:p>
    <w:p w14:paraId="2B244580"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基金管理人发送指令应采用传真方式或双方协商一致的其他方式。</w:t>
      </w:r>
    </w:p>
    <w:p w14:paraId="298B15A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7CB169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指令发出后，基金管理人应及时以电话方式向基金托管人确认。</w:t>
      </w:r>
    </w:p>
    <w:p w14:paraId="252F688B"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6CA585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2.指令的确认</w:t>
      </w:r>
    </w:p>
    <w:p w14:paraId="3BACC6A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E4D8021"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3.指令的时间和执行</w:t>
      </w:r>
    </w:p>
    <w:p w14:paraId="2E396A2D"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bookmarkStart w:id="76" w:name="OLE_LINK119"/>
      <w:bookmarkStart w:id="77" w:name="OLE_LINK118"/>
      <w:r>
        <w:rPr>
          <w:rFonts w:ascii="彩虹粗仿宋" w:eastAsia="彩虹粗仿宋" w:hAnsi="宋体" w:cs="Arial" w:hint="eastAsia"/>
          <w:color w:val="000000" w:themeColor="text1"/>
          <w:kern w:val="0"/>
          <w:sz w:val="24"/>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w:t>
      </w:r>
      <w:r>
        <w:rPr>
          <w:rFonts w:ascii="彩虹粗仿宋" w:eastAsia="彩虹粗仿宋" w:hAnsi="宋体" w:cs="Arial" w:hint="eastAsia"/>
          <w:color w:val="000000" w:themeColor="text1"/>
          <w:kern w:val="0"/>
          <w:sz w:val="24"/>
          <w:szCs w:val="24"/>
        </w:rPr>
        <w:lastRenderedPageBreak/>
        <w:t>金托管资金账户有足够的资金余额，在基金资金头寸充足的情况下，基金托管人对基金管理人符合法律法规、《基金合同》、本协议的指令不得拖延或拒绝执行。</w:t>
      </w:r>
    </w:p>
    <w:bookmarkEnd w:id="76"/>
    <w:bookmarkEnd w:id="77"/>
    <w:p w14:paraId="6BAB014F"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（四）基金管理人发送错误指令的情形和处理程序</w:t>
      </w:r>
    </w:p>
    <w:p w14:paraId="1A5E200C"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基金管理人发送错误指令的情形包括指令违反法律法规</w:t>
      </w:r>
      <w:r>
        <w:rPr>
          <w:rFonts w:ascii="彩虹粗仿宋" w:eastAsia="彩虹粗仿宋" w:hAnsi="宋体" w:cs="Arial" w:hint="eastAsia"/>
          <w:color w:val="000000" w:themeColor="text1"/>
          <w:sz w:val="24"/>
        </w:rPr>
        <w:t>、监管规定、</w:t>
      </w:r>
      <w:r>
        <w:rPr>
          <w:rFonts w:ascii="彩虹粗仿宋" w:eastAsia="彩虹粗仿宋" w:hAnsi="宋体" w:cs="Arial" w:hint="eastAsia"/>
          <w:color w:val="000000" w:themeColor="text1"/>
          <w:kern w:val="0"/>
          <w:sz w:val="24"/>
          <w:szCs w:val="24"/>
        </w:rPr>
        <w:t>《基金合同》</w:t>
      </w:r>
      <w:r>
        <w:rPr>
          <w:rFonts w:ascii="彩虹粗仿宋" w:eastAsia="彩虹粗仿宋" w:hAnsi="宋体" w:cs="Arial" w:hint="eastAsia"/>
          <w:color w:val="000000" w:themeColor="text1"/>
          <w:sz w:val="24"/>
        </w:rPr>
        <w:t>或本协议的约定</w:t>
      </w:r>
      <w:r>
        <w:rPr>
          <w:rFonts w:ascii="彩虹粗仿宋" w:eastAsia="彩虹粗仿宋" w:hAnsi="宋体" w:cs="Arial" w:hint="eastAsia"/>
          <w:color w:val="000000" w:themeColor="text1"/>
          <w:kern w:val="0"/>
          <w:sz w:val="24"/>
          <w:szCs w:val="24"/>
        </w:rPr>
        <w:t>，或指令发送人员无权或超越权限发送指令。</w:t>
      </w:r>
    </w:p>
    <w:p w14:paraId="28003903" w14:textId="77777777" w:rsidR="00A82A5F" w:rsidRDefault="003122C7">
      <w:pPr>
        <w:widowControl/>
        <w:adjustRightInd w:val="0"/>
        <w:snapToGrid w:val="0"/>
        <w:ind w:firstLineChars="200" w:firstLine="480"/>
        <w:rPr>
          <w:rStyle w:val="af6"/>
          <w:rFonts w:ascii="Times New Roman" w:eastAsia="宋体" w:hAnsi="Times New Roman" w:cs="Times New Roman"/>
          <w:color w:val="000000" w:themeColor="text1"/>
        </w:rPr>
      </w:pPr>
      <w:r>
        <w:rPr>
          <w:rFonts w:ascii="彩虹粗仿宋" w:eastAsia="彩虹粗仿宋" w:hAnsi="宋体" w:cs="Arial" w:hint="eastAsia"/>
          <w:color w:val="000000" w:themeColor="text1"/>
          <w:kern w:val="0"/>
          <w:sz w:val="24"/>
          <w:szCs w:val="24"/>
        </w:rPr>
        <w:t>基金托管人发现基金管理人的指令错误时，有权视情况暂缓或拒绝执行，并及时通知基金管理人改正。</w:t>
      </w:r>
      <w:r>
        <w:rPr>
          <w:rFonts w:ascii="彩虹粗仿宋" w:eastAsia="彩虹粗仿宋" w:hAnsi="宋体" w:cs="Arial" w:hint="eastAsia"/>
          <w:color w:val="000000" w:themeColor="text1"/>
          <w:sz w:val="24"/>
        </w:rPr>
        <w:t>如需托管人撤销尚未执行的指令，基金管理人应出具作废指令或作废说明，并电话通知托管人。</w:t>
      </w:r>
    </w:p>
    <w:p w14:paraId="50984EE9"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（五）基金托管人未按照基金管理人指令执行的处理方法</w:t>
      </w:r>
    </w:p>
    <w:p w14:paraId="7E181264"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基金托管人由于自身过错，未按照基金管理人发送的</w:t>
      </w:r>
      <w:r>
        <w:rPr>
          <w:rFonts w:ascii="彩虹粗仿宋" w:eastAsia="彩虹粗仿宋" w:hAnsi="宋体" w:cs="Arial" w:hint="eastAsia"/>
          <w:color w:val="000000" w:themeColor="text1"/>
          <w:sz w:val="24"/>
        </w:rPr>
        <w:t>符合法律法规、监管规定、《基金合同》和本协议约定的</w:t>
      </w:r>
      <w:r>
        <w:rPr>
          <w:rFonts w:ascii="彩虹粗仿宋" w:eastAsia="彩虹粗仿宋" w:hAnsi="宋体" w:cs="Arial" w:hint="eastAsia"/>
          <w:color w:val="000000" w:themeColor="text1"/>
          <w:kern w:val="0"/>
          <w:sz w:val="24"/>
          <w:szCs w:val="24"/>
        </w:rPr>
        <w:t>指令执行并对基金财产或投资人造成的直接损失，由基金托管人赔偿由此造成的直接损失。</w:t>
      </w:r>
    </w:p>
    <w:p w14:paraId="4970F357"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（六）其他事项</w:t>
      </w:r>
    </w:p>
    <w:p w14:paraId="0D342EDE"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14:paraId="25F6C175" w14:textId="77777777" w:rsidR="00A82A5F" w:rsidRDefault="003122C7">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基金参与认购未上市债券时，基金管理人应代表本基金与对手方签署相关合同或协议，明确约定债券过户具体事宜。否则，基金管理人需对所认购债券的过户事宜承担相应责任。</w:t>
      </w:r>
    </w:p>
    <w:p w14:paraId="6FE79BCA" w14:textId="77777777" w:rsidR="00A82A5F" w:rsidRDefault="003122C7">
      <w:pPr>
        <w:pStyle w:val="2"/>
        <w:jc w:val="center"/>
        <w:rPr>
          <w:rFonts w:ascii="彩虹粗仿宋" w:eastAsia="彩虹粗仿宋"/>
          <w:color w:val="000000" w:themeColor="text1"/>
        </w:rPr>
      </w:pPr>
      <w:bookmarkStart w:id="78" w:name="_Toc86649725"/>
      <w:bookmarkStart w:id="79" w:name="_Toc89163371"/>
      <w:bookmarkStart w:id="80" w:name="_Toc86204791"/>
      <w:bookmarkStart w:id="81" w:name="_Toc84234390"/>
      <w:bookmarkStart w:id="82" w:name="_Toc86727358"/>
      <w:bookmarkStart w:id="83" w:name="_Toc86225294"/>
      <w:bookmarkStart w:id="84" w:name="_Toc86726442"/>
      <w:bookmarkStart w:id="85" w:name="_Toc110765663"/>
      <w:bookmarkStart w:id="86" w:name="_Toc86223245"/>
      <w:bookmarkStart w:id="87" w:name="_Toc110761799"/>
      <w:bookmarkStart w:id="88" w:name="_Toc118212953"/>
      <w:bookmarkStart w:id="89" w:name="_Toc118972651"/>
      <w:bookmarkStart w:id="90" w:name="_Toc84133788"/>
      <w:bookmarkStart w:id="91" w:name="_Toc124325891"/>
      <w:bookmarkStart w:id="92" w:name="_Toc120435786"/>
      <w:bookmarkStart w:id="93" w:name="_Toc110830495"/>
      <w:bookmarkStart w:id="94" w:name="_Toc108512361"/>
      <w:bookmarkStart w:id="95" w:name="_Toc84234437"/>
      <w:bookmarkStart w:id="96" w:name="_Toc118774806"/>
      <w:bookmarkStart w:id="97" w:name="_Toc119402713"/>
      <w:bookmarkStart w:id="98" w:name="_Toc86737932"/>
      <w:r>
        <w:rPr>
          <w:rFonts w:ascii="彩虹粗仿宋" w:eastAsia="彩虹粗仿宋" w:hint="eastAsia"/>
          <w:color w:val="000000" w:themeColor="text1"/>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DE98ACB"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bookmarkStart w:id="99" w:name="OLE_LINK120"/>
      <w:bookmarkStart w:id="100" w:name="OLE_LINK121"/>
      <w:r>
        <w:rPr>
          <w:rFonts w:ascii="彩虹粗仿宋" w:eastAsia="彩虹粗仿宋" w:hAnsi="宋体" w:cs="Arial" w:hint="eastAsia"/>
          <w:color w:val="000000" w:themeColor="text1"/>
          <w:kern w:val="0"/>
          <w:sz w:val="24"/>
          <w:szCs w:val="24"/>
        </w:rPr>
        <w:t>本</w:t>
      </w:r>
      <w:r>
        <w:rPr>
          <w:rFonts w:ascii="彩虹粗仿宋" w:eastAsia="彩虹粗仿宋" w:hAnsi="宋体" w:cs="Arial"/>
          <w:color w:val="000000" w:themeColor="text1"/>
          <w:kern w:val="0"/>
          <w:sz w:val="24"/>
          <w:szCs w:val="24"/>
        </w:rPr>
        <w:t>基金</w:t>
      </w:r>
      <w:r>
        <w:rPr>
          <w:rFonts w:ascii="彩虹粗仿宋" w:eastAsia="彩虹粗仿宋" w:hAnsi="宋体" w:cs="Arial" w:hint="eastAsia"/>
          <w:color w:val="000000" w:themeColor="text1"/>
          <w:kern w:val="0"/>
          <w:sz w:val="24"/>
          <w:szCs w:val="24"/>
        </w:rPr>
        <w:t>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bookmarkEnd w:id="99"/>
    <w:bookmarkEnd w:id="100"/>
    <w:p w14:paraId="18218867"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基金管理人、基金托管人应遵守本协议下述（一）和（二）之约定。</w:t>
      </w:r>
    </w:p>
    <w:p w14:paraId="2350768A"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（一）选择证券、期货买卖的证券、期货经营机构</w:t>
      </w:r>
    </w:p>
    <w:p w14:paraId="60E0642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w:t>
      </w:r>
      <w:r>
        <w:rPr>
          <w:rFonts w:ascii="彩虹粗仿宋" w:eastAsia="彩虹粗仿宋" w:hAnsi="宋体" w:cs="Arial" w:hint="eastAsia"/>
          <w:color w:val="000000" w:themeColor="text1"/>
          <w:kern w:val="0"/>
          <w:sz w:val="24"/>
          <w:szCs w:val="24"/>
        </w:rPr>
        <w:lastRenderedPageBreak/>
        <w:t>构的有关情况及交易信息予以披露，并将该等情况及基金交易单元号、佣金费率等基本信息以及变更情况及时以书面形式通知基金托管人。</w:t>
      </w:r>
    </w:p>
    <w:p w14:paraId="1B6FD63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2C7A8501"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本基金在开始进行期货投资之前，应与基金托管人、期货公司三方一同就期货开户、清算、估值、交收等事宜另行签署《期货投资托管操作三方备忘录》。</w:t>
      </w:r>
    </w:p>
    <w:p w14:paraId="734D3C98"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（二）基金投资证券后的清算交收安排</w:t>
      </w:r>
    </w:p>
    <w:p w14:paraId="185B26FA"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1.结算备付金与保证金</w:t>
      </w:r>
    </w:p>
    <w:p w14:paraId="7BF2FA2A"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33742A0D"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0A7DF3E4"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（1）固定备付金比例计收方式下，基金管理人应在调整最低备付金、结算保证金当日上午11：00之前补足金额。</w:t>
      </w:r>
    </w:p>
    <w:p w14:paraId="1D022A07"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（2）差异化备付金比例计收方式下，基金管理人应最晚于资金交收日上午8：30前补足金额。</w:t>
      </w:r>
    </w:p>
    <w:p w14:paraId="77130ADB"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w:t>
      </w:r>
      <w:r>
        <w:rPr>
          <w:rFonts w:ascii="彩虹粗仿宋" w:eastAsia="彩虹粗仿宋" w:hAnsi="宋体" w:cs="Arial"/>
          <w:color w:val="000000" w:themeColor="text1"/>
          <w:kern w:val="0"/>
          <w:sz w:val="24"/>
          <w:szCs w:val="24"/>
        </w:rPr>
        <w:t>.</w:t>
      </w:r>
      <w:r>
        <w:rPr>
          <w:rFonts w:ascii="彩虹粗仿宋" w:eastAsia="彩虹粗仿宋" w:hAnsi="宋体" w:cs="Arial" w:hint="eastAsia"/>
          <w:color w:val="000000" w:themeColor="text1"/>
          <w:kern w:val="0"/>
          <w:sz w:val="24"/>
          <w:szCs w:val="24"/>
        </w:rPr>
        <w:t>清算交收</w:t>
      </w:r>
    </w:p>
    <w:p w14:paraId="30947C3B"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B6EA2E6"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bookmarkStart w:id="101" w:name="OLE_LINK126"/>
      <w:bookmarkStart w:id="102" w:name="OLE_LINK125"/>
      <w:bookmarkStart w:id="103" w:name="OLE_LINK124"/>
      <w:r>
        <w:rPr>
          <w:rFonts w:ascii="彩虹粗仿宋" w:eastAsia="彩虹粗仿宋" w:hAnsi="宋体" w:cs="Arial" w:hint="eastAsia"/>
          <w:color w:val="000000" w:themeColor="text1"/>
          <w:kern w:val="0"/>
          <w:sz w:val="24"/>
          <w:szCs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w:t>
      </w:r>
      <w:r>
        <w:rPr>
          <w:rFonts w:ascii="彩虹粗仿宋" w:eastAsia="彩虹粗仿宋" w:hAnsi="宋体" w:cs="Arial" w:hint="eastAsia"/>
          <w:color w:val="000000" w:themeColor="text1"/>
          <w:sz w:val="24"/>
        </w:rPr>
        <w:t>可以控制的因素</w:t>
      </w:r>
      <w:r>
        <w:rPr>
          <w:rFonts w:ascii="彩虹粗仿宋" w:eastAsia="彩虹粗仿宋" w:hAnsi="宋体" w:cs="Arial" w:hint="eastAsia"/>
          <w:color w:val="000000" w:themeColor="text1"/>
          <w:kern w:val="0"/>
          <w:sz w:val="24"/>
          <w:szCs w:val="24"/>
        </w:rPr>
        <w:t>造成清算资金无法按时到账的情形，基金托管人</w:t>
      </w:r>
      <w:r>
        <w:rPr>
          <w:rFonts w:ascii="彩虹粗仿宋" w:eastAsia="彩虹粗仿宋" w:hAnsi="宋体" w:cs="Arial"/>
          <w:color w:val="000000" w:themeColor="text1"/>
          <w:kern w:val="0"/>
          <w:sz w:val="24"/>
          <w:szCs w:val="24"/>
        </w:rPr>
        <w:t>免责</w:t>
      </w:r>
      <w:r>
        <w:rPr>
          <w:rFonts w:ascii="彩虹粗仿宋" w:eastAsia="彩虹粗仿宋" w:hAnsi="宋体" w:cs="Arial" w:hint="eastAsia"/>
          <w:color w:val="000000" w:themeColor="text1"/>
          <w:kern w:val="0"/>
          <w:sz w:val="24"/>
          <w:szCs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w:t>
      </w:r>
      <w:r>
        <w:rPr>
          <w:rFonts w:ascii="彩虹粗仿宋" w:eastAsia="彩虹粗仿宋" w:hAnsi="宋体" w:cs="Arial"/>
          <w:color w:val="000000" w:themeColor="text1"/>
          <w:kern w:val="0"/>
          <w:sz w:val="24"/>
          <w:szCs w:val="24"/>
        </w:rPr>
        <w:t>处理</w:t>
      </w:r>
      <w:r>
        <w:rPr>
          <w:rFonts w:ascii="彩虹粗仿宋" w:eastAsia="彩虹粗仿宋" w:hAnsi="宋体" w:cs="Arial" w:hint="eastAsia"/>
          <w:color w:val="000000" w:themeColor="text1"/>
          <w:kern w:val="0"/>
          <w:sz w:val="24"/>
          <w:szCs w:val="24"/>
        </w:rPr>
        <w:t>，由此给基金</w:t>
      </w:r>
      <w:r>
        <w:rPr>
          <w:rFonts w:ascii="彩虹粗仿宋" w:eastAsia="彩虹粗仿宋" w:hAnsi="宋体" w:cs="Arial" w:hint="eastAsia"/>
          <w:color w:val="000000" w:themeColor="text1"/>
          <w:kern w:val="0"/>
          <w:sz w:val="24"/>
          <w:szCs w:val="24"/>
        </w:rPr>
        <w:lastRenderedPageBreak/>
        <w:t>托管人、本基金</w:t>
      </w:r>
      <w:r>
        <w:rPr>
          <w:rFonts w:ascii="彩虹粗仿宋" w:eastAsia="彩虹粗仿宋" w:hAnsi="宋体" w:cs="Arial" w:hint="eastAsia"/>
          <w:color w:val="000000" w:themeColor="text1"/>
          <w:sz w:val="24"/>
        </w:rPr>
        <w:t>和基金托管人托管的其他资产</w:t>
      </w:r>
      <w:r>
        <w:rPr>
          <w:rFonts w:ascii="彩虹粗仿宋" w:eastAsia="彩虹粗仿宋" w:hAnsi="宋体" w:cs="Arial" w:hint="eastAsia"/>
          <w:color w:val="000000" w:themeColor="text1"/>
          <w:kern w:val="0"/>
          <w:sz w:val="24"/>
          <w:szCs w:val="24"/>
        </w:rPr>
        <w:t>造成的直接损失由基金管理人承担。</w:t>
      </w:r>
    </w:p>
    <w:bookmarkEnd w:id="101"/>
    <w:bookmarkEnd w:id="102"/>
    <w:bookmarkEnd w:id="103"/>
    <w:p w14:paraId="6E6C259F"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14:paraId="45EC3D52"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（1）固定备付金比例计收方式下，基金管理人应最晚于资金交收日上午11：00前补足金额。</w:t>
      </w:r>
    </w:p>
    <w:p w14:paraId="12F956AC"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（2）差异化备付金比例计收方式下，基金管理人应最晚于资金交收日上午8：30前补足金额。</w:t>
      </w:r>
    </w:p>
    <w:p w14:paraId="027EBCD6"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color w:val="000000" w:themeColor="text1"/>
          <w:sz w:val="24"/>
        </w:rPr>
        <w:t>和基金托管人托管的其他资产</w:t>
      </w:r>
      <w:r>
        <w:rPr>
          <w:rFonts w:ascii="彩虹粗仿宋" w:eastAsia="彩虹粗仿宋" w:hAnsi="宋体" w:cs="Arial" w:hint="eastAsia"/>
          <w:color w:val="000000" w:themeColor="text1"/>
          <w:kern w:val="0"/>
          <w:sz w:val="24"/>
          <w:szCs w:val="24"/>
        </w:rPr>
        <w:t>造成的直接损失由基金管理人负责。</w:t>
      </w:r>
    </w:p>
    <w:p w14:paraId="531F01A2"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C59A169"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中国证券登记结算有限责任公司实行T+0非担保交收的业务，基金管理人应在交易日14：00前将划款指令发送至托管人。因基金管理人指令传输不及时，致使资金未能及时划入中国证券登记结算有限责任公司所造成的损失由基金管理人承担，包括但不限于赔偿在该市场引起基金托管人的其他托管客户交易失败、赔偿因占用基金托管人作为结算参与人的最低备付金带来的利息损失。</w:t>
      </w:r>
    </w:p>
    <w:p w14:paraId="3591EB33"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.交易记录、资金和证券/</w:t>
      </w:r>
      <w:r>
        <w:rPr>
          <w:rFonts w:ascii="彩虹粗仿宋" w:eastAsia="彩虹粗仿宋" w:hAnsi="宋体" w:cs="Arial"/>
          <w:color w:val="000000" w:themeColor="text1"/>
          <w:kern w:val="0"/>
          <w:sz w:val="24"/>
          <w:szCs w:val="24"/>
        </w:rPr>
        <w:t>期货</w:t>
      </w:r>
      <w:r>
        <w:rPr>
          <w:rFonts w:ascii="彩虹粗仿宋" w:eastAsia="彩虹粗仿宋" w:hAnsi="宋体" w:cs="Arial" w:hint="eastAsia"/>
          <w:color w:val="000000" w:themeColor="text1"/>
          <w:kern w:val="0"/>
          <w:sz w:val="24"/>
          <w:szCs w:val="24"/>
        </w:rPr>
        <w:t>账目核对的时间和方式</w:t>
      </w:r>
    </w:p>
    <w:p w14:paraId="39F8C3E4"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（1）交易记录的核对</w:t>
      </w:r>
    </w:p>
    <w:p w14:paraId="177FDCC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04" w:name="OLE_LINK128"/>
      <w:bookmarkStart w:id="105" w:name="OLE_LINK127"/>
      <w:r>
        <w:rPr>
          <w:rFonts w:ascii="彩虹粗仿宋" w:eastAsia="彩虹粗仿宋" w:hAnsi="宋体" w:cs="Arial" w:hint="eastAsia"/>
          <w:color w:val="000000" w:themeColor="text1"/>
          <w:kern w:val="0"/>
          <w:sz w:val="24"/>
          <w:szCs w:val="24"/>
        </w:rPr>
        <w:t>基金管理人按日进行交易记录的核对。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bookmarkEnd w:id="104"/>
    <w:bookmarkEnd w:id="105"/>
    <w:p w14:paraId="1F461EDB"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（2）资金账目的核对</w:t>
      </w:r>
    </w:p>
    <w:p w14:paraId="601A797E"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资金账目按日核实。</w:t>
      </w:r>
    </w:p>
    <w:p w14:paraId="72B3D0FB"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（3）证券/期货账目的核对</w:t>
      </w:r>
    </w:p>
    <w:p w14:paraId="776510D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基金管理人和基金托管人每</w:t>
      </w:r>
      <w:r>
        <w:rPr>
          <w:rFonts w:ascii="彩虹粗仿宋" w:eastAsia="彩虹粗仿宋" w:hAnsi="宋体" w:cs="Arial"/>
          <w:color w:val="000000" w:themeColor="text1"/>
          <w:kern w:val="0"/>
          <w:sz w:val="24"/>
          <w:szCs w:val="24"/>
        </w:rPr>
        <w:t>交易</w:t>
      </w:r>
      <w:r>
        <w:rPr>
          <w:rFonts w:ascii="彩虹粗仿宋" w:eastAsia="彩虹粗仿宋" w:hAnsi="宋体" w:cs="Arial" w:hint="eastAsia"/>
          <w:color w:val="000000" w:themeColor="text1"/>
          <w:kern w:val="0"/>
          <w:sz w:val="24"/>
          <w:szCs w:val="24"/>
        </w:rPr>
        <w:t>日结束后核对基金证券/</w:t>
      </w:r>
      <w:r>
        <w:rPr>
          <w:rFonts w:ascii="彩虹粗仿宋" w:eastAsia="彩虹粗仿宋" w:hAnsi="宋体" w:cs="Arial"/>
          <w:color w:val="000000" w:themeColor="text1"/>
          <w:kern w:val="0"/>
          <w:sz w:val="24"/>
          <w:szCs w:val="24"/>
        </w:rPr>
        <w:t>期货</w:t>
      </w:r>
      <w:r>
        <w:rPr>
          <w:rFonts w:ascii="彩虹粗仿宋" w:eastAsia="彩虹粗仿宋" w:hAnsi="宋体" w:cs="Arial" w:hint="eastAsia"/>
          <w:color w:val="000000" w:themeColor="text1"/>
          <w:kern w:val="0"/>
          <w:sz w:val="24"/>
          <w:szCs w:val="24"/>
        </w:rPr>
        <w:t>账目，确保双方账目相符。</w:t>
      </w:r>
    </w:p>
    <w:p w14:paraId="7B43D20E"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（三）基金申购和赎回业务处理的基本规定</w:t>
      </w:r>
    </w:p>
    <w:p w14:paraId="73DE6E13"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1.基金份额申购、赎回的确认、清算由基金管理人或其委托的登记机构负责。</w:t>
      </w:r>
    </w:p>
    <w:p w14:paraId="3731CD02"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2.基金管理人应保证本基金（或本基金管理人委托）的登记机构每个工作日15:00前将前一个开放日的申购、赎回、转换开放式基金的数据传送给基金托管人，并保证相关数据的准确完整。基金管理人应对传递的申购、赎回、转换开放式基金的数据真实性负责。基金托管人应及时查收申购及转入资金的到账情况并根据基金管理人指令及时划付赎回及转出款项。</w:t>
      </w:r>
    </w:p>
    <w:p w14:paraId="6E4B6301"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.登记机构应通过与基金托管人建立的加密系统发送有关数据，如因各种原因，该系统无法正常发送，双方可协商解决处理方式。基金管理人向基金托管人发送的数据，双方各自按有关规定保存。</w:t>
      </w:r>
    </w:p>
    <w:p w14:paraId="5D220357"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.如基金管理人委托其他机构办理本基金的登记业务，应保证上述相关事宜按时进行。否则，由基金管理人承担相应的责任。</w:t>
      </w:r>
    </w:p>
    <w:p w14:paraId="7CE702AF"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.关于清算专用账户的设立和管理</w:t>
      </w:r>
    </w:p>
    <w:p w14:paraId="455EEADC"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为满足申购、赎回及分红资金汇划的需要，由基金管理人开立资金清算的专用账户，该账户由登记机构管理。</w:t>
      </w:r>
    </w:p>
    <w:p w14:paraId="6564DA5A"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6919A621"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.赎回和分红资金划拨规定</w:t>
      </w:r>
    </w:p>
    <w:p w14:paraId="18072E5C"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668A4840"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8</w:t>
      </w:r>
      <w:r>
        <w:rPr>
          <w:rFonts w:ascii="彩虹粗仿宋" w:eastAsia="彩虹粗仿宋" w:hAnsi="宋体" w:cs="Arial" w:hint="eastAsia"/>
          <w:color w:val="000000" w:themeColor="text1"/>
          <w:kern w:val="0"/>
          <w:sz w:val="24"/>
          <w:szCs w:val="24"/>
        </w:rPr>
        <w:t>.资金指令</w:t>
      </w:r>
    </w:p>
    <w:p w14:paraId="6202AE5E"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除申购款项到达基金托管资金账户需双方按约定方式对账外，回购到期付款和与投资有关的付款、赎回和分红资金划拨时，基金管理人需向基金托管人下达指令。</w:t>
      </w:r>
    </w:p>
    <w:p w14:paraId="1BE8344D"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资金指令的格式、内容、发送、接收和确认方式等与投资指令相同。</w:t>
      </w:r>
    </w:p>
    <w:p w14:paraId="362B33E2"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（四）申赎净额结算</w:t>
      </w:r>
    </w:p>
    <w:p w14:paraId="1C4ECE67"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25FAA606"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（五）基金转换</w:t>
      </w:r>
    </w:p>
    <w:p w14:paraId="1BBFEA35"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1.在本基金开展转换业务之前，基金管理人应函告基金托管人并就相关事宜进行协商。</w:t>
      </w:r>
    </w:p>
    <w:p w14:paraId="2C88A54F"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2.基金托管人将根据基金管理人传送的基金转换数据进行账务处理，具体资金清算和数据传递的时间、程序及托管协议当事人承担的权责按基金管理人届时的公告执行。</w:t>
      </w:r>
    </w:p>
    <w:p w14:paraId="113A8811"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3.本基金开展基金转换业务应按相关法律法规规定及《基金合同》的约定进行公告。</w:t>
      </w:r>
    </w:p>
    <w:p w14:paraId="0D82A8C7"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（六）基金现金分红</w:t>
      </w:r>
    </w:p>
    <w:p w14:paraId="6891A16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1.基金管理人确定分红方案通知基金托管人，双方核定后依照《</w:t>
      </w:r>
      <w:bookmarkStart w:id="106" w:name="OLE_LINK129"/>
      <w:bookmarkStart w:id="107" w:name="OLE_LINK130"/>
      <w:r>
        <w:rPr>
          <w:rFonts w:ascii="彩虹粗仿宋" w:eastAsia="彩虹粗仿宋" w:hAnsi="宋体" w:cs="Arial" w:hint="eastAsia"/>
          <w:color w:val="000000" w:themeColor="text1"/>
          <w:kern w:val="0"/>
          <w:sz w:val="24"/>
          <w:szCs w:val="24"/>
        </w:rPr>
        <w:t>公开募集证券投资基金信息披露管理办法</w:t>
      </w:r>
      <w:bookmarkEnd w:id="106"/>
      <w:bookmarkEnd w:id="107"/>
      <w:r>
        <w:rPr>
          <w:rFonts w:ascii="彩虹粗仿宋" w:eastAsia="彩虹粗仿宋" w:hAnsi="宋体" w:cs="Arial" w:hint="eastAsia"/>
          <w:color w:val="000000" w:themeColor="text1"/>
          <w:kern w:val="0"/>
          <w:sz w:val="24"/>
          <w:szCs w:val="24"/>
        </w:rPr>
        <w:t>》（以下简称“《信息披露办法》” ）的有关规定在中国证监会规定媒介上公告。</w:t>
      </w:r>
    </w:p>
    <w:p w14:paraId="35E9AE5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2.基金托管人和基金管理人对基金分红进行账务处理并核对后，基金管理人向基金托管人发送现金红利的划款指令，基金托管人应及时将资金划入专用账户。</w:t>
      </w:r>
    </w:p>
    <w:p w14:paraId="60D2ACE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3.基金管理人在下达指令时，应给基金托管人留出必需的划款时间。</w:t>
      </w:r>
    </w:p>
    <w:p w14:paraId="0D3FFD93" w14:textId="77777777" w:rsidR="00A82A5F" w:rsidRDefault="003122C7">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（七）投资银行存款的特别约定</w:t>
      </w:r>
    </w:p>
    <w:p w14:paraId="6AEFBA3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1.本基金投资银行存款前，基金管理人应与存款银行签订具体存款协议，包括但不限于以下内容：</w:t>
      </w:r>
    </w:p>
    <w:p w14:paraId="09C759E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（1）存款账户必须以本基金名义开立,并将基金托管人为本基金开立的基金托管资金账户指定为唯一回款账户，任何情况下，存款银行都不得将存款投资本息划往任何其他账户。</w:t>
      </w:r>
    </w:p>
    <w:p w14:paraId="3FCF98F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（2）存款银行不得接受基金管理人或基金托管人任何一方单方面提出的对存款进行更名、转让、挂失、质押、担保、撤销、变更印鉴及回款账户信息等可能导致财产转移的操作申请。</w:t>
      </w:r>
    </w:p>
    <w:p w14:paraId="1A2B936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（3）约定存款证实书的具体传递交接方式及交接期限。</w:t>
      </w:r>
    </w:p>
    <w:p w14:paraId="14C3545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（4）资金划转过程中需要使用存款银行过渡账户的，存款银行须保证资金在过渡账户中不出现滞留，不被挪用。</w:t>
      </w:r>
    </w:p>
    <w:p w14:paraId="2487CA6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086D874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CEA58F2"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lastRenderedPageBreak/>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75632CAE" w14:textId="77777777" w:rsidR="00A82A5F" w:rsidRDefault="00A82A5F">
      <w:pPr>
        <w:adjustRightInd w:val="0"/>
        <w:snapToGrid w:val="0"/>
        <w:ind w:firstLineChars="200" w:firstLine="480"/>
        <w:rPr>
          <w:rFonts w:ascii="宋体" w:eastAsia="宋体" w:hAnsi="宋体" w:cs="Arial"/>
          <w:color w:val="000000" w:themeColor="text1"/>
          <w:sz w:val="24"/>
        </w:rPr>
      </w:pPr>
    </w:p>
    <w:p w14:paraId="78B5F749" w14:textId="77777777" w:rsidR="00A82A5F" w:rsidRDefault="003122C7">
      <w:pPr>
        <w:pStyle w:val="2"/>
        <w:jc w:val="center"/>
        <w:rPr>
          <w:rFonts w:ascii="彩虹粗仿宋" w:eastAsia="彩虹粗仿宋"/>
          <w:color w:val="000000" w:themeColor="text1"/>
        </w:rPr>
      </w:pPr>
      <w:bookmarkStart w:id="108" w:name="_Toc124325892"/>
      <w:r>
        <w:rPr>
          <w:rFonts w:ascii="彩虹粗仿宋" w:eastAsia="彩虹粗仿宋" w:hint="eastAsia"/>
          <w:color w:val="000000" w:themeColor="text1"/>
        </w:rPr>
        <w:t>八、基金资产净值计算和会计核算</w:t>
      </w:r>
      <w:bookmarkEnd w:id="108"/>
    </w:p>
    <w:p w14:paraId="77DC90E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（一）基金资产净值的计算、复核与完成的时间及程序</w:t>
      </w:r>
    </w:p>
    <w:p w14:paraId="279F1FB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 基金资产净值是指基金资产总值减去基金负债后的价值。各类基金份额净值是按照每个工作日闭市后，各类基金份额基金资产净值分别除以当日该类基金份额的余额数量计算，均精确到0.0001元，小数点后第5位四舍五入，由此产生的收益或损失由基金财产承担。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国家另有规定的，从其规定。</w:t>
      </w:r>
    </w:p>
    <w:p w14:paraId="45CAEBB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基金管理人应每个工作日计算基金资产净值及各类基金份额净值，并按规定公告。</w:t>
      </w:r>
    </w:p>
    <w:p w14:paraId="20AD370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 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1CD97BB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（二）基金资产估值方法和特殊情形的处理</w:t>
      </w:r>
    </w:p>
    <w:p w14:paraId="5E6C625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1.估值对象</w:t>
      </w:r>
    </w:p>
    <w:p w14:paraId="7F05804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基金所拥有的股票、债券、基金份额、资产支持证券、衍生工具、信用衍生品、银行存款本息、应收款项、其它投资等资产及负债。</w:t>
      </w:r>
    </w:p>
    <w:p w14:paraId="11178B2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09" w:name="_Hlk221739335"/>
      <w:r>
        <w:rPr>
          <w:rFonts w:ascii="彩虹粗仿宋" w:eastAsia="彩虹粗仿宋" w:hAnsi="宋体" w:cs="Arial" w:hint="eastAsia"/>
          <w:color w:val="000000" w:themeColor="text1"/>
          <w:kern w:val="0"/>
          <w:sz w:val="24"/>
          <w:szCs w:val="24"/>
        </w:rPr>
        <w:t>2.估值方法</w:t>
      </w:r>
    </w:p>
    <w:p w14:paraId="2E1F0B3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（1）证券交易所上市的有价证券的估值（不包括基金）</w:t>
      </w:r>
    </w:p>
    <w:p w14:paraId="77FE3E8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FB1C36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2）交易所已上市或已挂牌转让的不含权固定收益品种，选取估值日第三方估值基准服务机构提供的相应品种当日的估值全价进行估值；</w:t>
      </w:r>
    </w:p>
    <w:p w14:paraId="11A2BBD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3）交易所已上市或已挂牌转让的含权固定收益品种，选取估值日第三方估值基准服务机构提供的相应品种当日的唯一估值全价或推荐估值全价进行估值；</w:t>
      </w:r>
    </w:p>
    <w:p w14:paraId="2B0BC93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E342F9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3123BB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6）交易所上市不存在活跃市场的有价证券，采用当前情况下适用并且有足够可利用数据和其他信息支持的估值技术确定其公允价值；</w:t>
      </w:r>
    </w:p>
    <w:p w14:paraId="5D8A04E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7）对在交易所市场发行未上市或未挂牌转让且不存在活跃市场的固定收益品种，采用在当前情况下适用并且有足够可利用数据和其他信息支持的估值技术确定其公允价值。</w:t>
      </w:r>
    </w:p>
    <w:p w14:paraId="12EA931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（2）处于未上市期间的有价证券应区分如下情况处理：</w:t>
      </w:r>
    </w:p>
    <w:p w14:paraId="4C1ABC2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1）送股、转增股、配股和公开增发的新股，按估值日在证券交易所挂牌的同一股票的估值方法估值；该日无交易的，以最近一日的市价（收盘价）估值；</w:t>
      </w:r>
    </w:p>
    <w:p w14:paraId="38B08D8A" w14:textId="1F18D2AD"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2）首次公开发行未上市的股票，采用估值技术确定公允价值；</w:t>
      </w:r>
    </w:p>
    <w:p w14:paraId="6832C68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3）首次公开发行未上市的债券，采用当前情况下适用并且有足够可利用数据和其他信息支持的估值技术确定其公允价值；</w:t>
      </w:r>
    </w:p>
    <w:p w14:paraId="7EF6988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547814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（3）对全国银行间市场上不含权的固定收益品种，按照第三方估值基准服务机构提供的相应品种当日的估值全价估值。对银行间市场上含权的固定收益品种，</w:t>
      </w:r>
      <w:r>
        <w:rPr>
          <w:rFonts w:ascii="彩虹粗仿宋" w:eastAsia="彩虹粗仿宋" w:hAnsi="宋体" w:cs="Arial" w:hint="eastAsia"/>
          <w:color w:val="000000" w:themeColor="text1"/>
          <w:kern w:val="0"/>
          <w:sz w:val="24"/>
          <w:szCs w:val="24"/>
        </w:rPr>
        <w:lastRenderedPageBreak/>
        <w:t>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3337B78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B892A2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（5）同一证券同时在两个或两个以上市场交易的，按证券所处的市场分别估值。</w:t>
      </w:r>
    </w:p>
    <w:p w14:paraId="5823387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（6）期货合约以估值当日结算价进行估值，估值当日无结算价的，且最近交易日后经济环境未发生重大变化的，采用最近交易日结算价估值。</w:t>
      </w:r>
    </w:p>
    <w:p w14:paraId="5A3B0C4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信用衍生品按第三方估值基准服务机构提供的当日估值价格进行估值，但管理人依法应当承担的估值责任不因委托而免除；选定的第三方估值基准服务机构未提供估值价格的，依照有关法律法规及企业会计准则要求采用合理估值技术确定公允价值。</w:t>
      </w:r>
    </w:p>
    <w:p w14:paraId="26528C6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（8）本基金投资存托凭证的估值核算依照境内上市交易的股票执行。</w:t>
      </w:r>
    </w:p>
    <w:p w14:paraId="47E052DC" w14:textId="724DD674"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10" w:name="OLE_LINK135"/>
      <w:bookmarkStart w:id="111" w:name="OLE_LINK137"/>
      <w:bookmarkStart w:id="112" w:name="OLE_LINK136"/>
      <w:r>
        <w:rPr>
          <w:rFonts w:ascii="彩虹粗仿宋" w:eastAsia="彩虹粗仿宋" w:hAnsi="宋体" w:cs="Arial" w:hint="eastAsia"/>
          <w:color w:val="000000" w:themeColor="text1"/>
          <w:kern w:val="0"/>
          <w:sz w:val="24"/>
          <w:szCs w:val="24"/>
        </w:rPr>
        <w:t>（9）如本基金投资股票市场交易互联互通机制允许买卖的境外证券市场上市的股票，涉及相关货币对人民币汇率的，将依据下列信息提供机构所提供的汇率为基准：当日中国人民银行公布的人民币汇率的中间价。</w:t>
      </w:r>
    </w:p>
    <w:bookmarkEnd w:id="110"/>
    <w:bookmarkEnd w:id="111"/>
    <w:bookmarkEnd w:id="112"/>
    <w:p w14:paraId="03D791C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10）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0010AB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（11）基金估值方法</w:t>
      </w:r>
    </w:p>
    <w:p w14:paraId="4304CC8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1）非上市基金的估值</w:t>
      </w:r>
    </w:p>
    <w:p w14:paraId="2A26F37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本基金投资的境内非货币市场基金，按所投资基金估值日的份额净值估值。</w:t>
      </w:r>
    </w:p>
    <w:p w14:paraId="335617A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2）上市基金的估值</w:t>
      </w:r>
    </w:p>
    <w:p w14:paraId="08D7620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a</w:t>
      </w:r>
      <w:r>
        <w:rPr>
          <w:rFonts w:ascii="彩虹粗仿宋" w:eastAsia="彩虹粗仿宋" w:hAnsi="宋体" w:cs="Arial" w:hint="eastAsia"/>
          <w:color w:val="000000" w:themeColor="text1"/>
          <w:kern w:val="0"/>
          <w:sz w:val="24"/>
          <w:szCs w:val="24"/>
        </w:rPr>
        <w:t>、本基金投资的ETF基金，按所投资ETF基金估值日的收盘价估值。</w:t>
      </w:r>
    </w:p>
    <w:p w14:paraId="49D95F8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b</w:t>
      </w:r>
      <w:r>
        <w:rPr>
          <w:rFonts w:ascii="彩虹粗仿宋" w:eastAsia="彩虹粗仿宋" w:hAnsi="宋体" w:cs="Arial" w:hint="eastAsia"/>
          <w:color w:val="000000" w:themeColor="text1"/>
          <w:kern w:val="0"/>
          <w:sz w:val="24"/>
          <w:szCs w:val="24"/>
        </w:rPr>
        <w:t>、本基金投资的境内上市开放式基金（LOF），按所投资基金估值日的份额净值估值。</w:t>
      </w:r>
    </w:p>
    <w:p w14:paraId="3332402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lastRenderedPageBreak/>
        <w:t>c</w:t>
      </w:r>
      <w:r>
        <w:rPr>
          <w:rFonts w:ascii="彩虹粗仿宋" w:eastAsia="彩虹粗仿宋" w:hAnsi="宋体" w:cs="Arial" w:hint="eastAsia"/>
          <w:color w:val="000000" w:themeColor="text1"/>
          <w:kern w:val="0"/>
          <w:sz w:val="24"/>
          <w:szCs w:val="24"/>
        </w:rPr>
        <w:t>、本基金投资的境内上市定期开放式基金、封闭式基金，按所投资基金估值日的收盘价估值。</w:t>
      </w:r>
    </w:p>
    <w:p w14:paraId="29D3823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3）如遇所投资基金不公布基金份额净值、进行折算或拆分、估值日无交易等特殊情况，基金管理人根据以下原则进行估值：</w:t>
      </w:r>
    </w:p>
    <w:p w14:paraId="3237495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a</w:t>
      </w:r>
      <w:r>
        <w:rPr>
          <w:rFonts w:ascii="彩虹粗仿宋" w:eastAsia="彩虹粗仿宋" w:hAnsi="宋体" w:cs="Arial" w:hint="eastAsia"/>
          <w:color w:val="000000" w:themeColor="text1"/>
          <w:kern w:val="0"/>
          <w:sz w:val="24"/>
          <w:szCs w:val="24"/>
        </w:rPr>
        <w:t>、以所投资基金的基金份额净值估值的，若所投资基金与本基金估值频率一致但未公布估值日基金份额净值，按其最近公布的基金份额净值为基础估值。</w:t>
      </w:r>
    </w:p>
    <w:p w14:paraId="0E05E59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b</w:t>
      </w:r>
      <w:r>
        <w:rPr>
          <w:rFonts w:ascii="彩虹粗仿宋" w:eastAsia="彩虹粗仿宋" w:hAnsi="宋体" w:cs="Arial" w:hint="eastAsia"/>
          <w:color w:val="000000" w:themeColor="text1"/>
          <w:kern w:val="0"/>
          <w:sz w:val="24"/>
          <w:szCs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1345171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c</w:t>
      </w:r>
      <w:r>
        <w:rPr>
          <w:rFonts w:ascii="彩虹粗仿宋" w:eastAsia="彩虹粗仿宋" w:hAnsi="宋体" w:cs="Arial" w:hint="eastAsia"/>
          <w:color w:val="000000" w:themeColor="text1"/>
          <w:kern w:val="0"/>
          <w:sz w:val="24"/>
          <w:szCs w:val="24"/>
        </w:rPr>
        <w:t>、如果所投资基金前一估值日至估值日期间发生分红除权、折算或拆分，基金管理人应根据基金份额净值或收盘价、单位基金份额分红金额、折算拆分比例、持仓份额等因素合理确定公允价值。</w:t>
      </w:r>
    </w:p>
    <w:p w14:paraId="6ECD642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12</w:t>
      </w:r>
      <w:r>
        <w:rPr>
          <w:rFonts w:ascii="彩虹粗仿宋" w:eastAsia="彩虹粗仿宋" w:hAnsi="宋体" w:cs="Arial" w:hint="eastAsia"/>
          <w:color w:val="000000" w:themeColor="text1"/>
          <w:kern w:val="0"/>
          <w:sz w:val="24"/>
          <w:szCs w:val="24"/>
        </w:rPr>
        <w:t>）如有确凿证据表明按上述方法进行估值不能客观反映其公允价值的，基金管理人可根据具体情况与基金托管人商定后，按最能反映公允价值的价格估值。</w:t>
      </w:r>
    </w:p>
    <w:p w14:paraId="3EB524F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13</w:t>
      </w:r>
      <w:r>
        <w:rPr>
          <w:rFonts w:ascii="彩虹粗仿宋" w:eastAsia="彩虹粗仿宋" w:hAnsi="宋体" w:cs="Arial" w:hint="eastAsia"/>
          <w:color w:val="000000" w:themeColor="text1"/>
          <w:kern w:val="0"/>
          <w:sz w:val="24"/>
          <w:szCs w:val="24"/>
        </w:rPr>
        <w:t>）本基金可以采用第三方估值机构按照上述公允价值确定原则提供的估值价格数据，使用模型估值的，应当审慎确定模型参数，不得随意调整。</w:t>
      </w:r>
    </w:p>
    <w:p w14:paraId="5C947DC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47AA887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14</w:t>
      </w:r>
      <w:r>
        <w:rPr>
          <w:rFonts w:ascii="彩虹粗仿宋" w:eastAsia="彩虹粗仿宋" w:hAnsi="宋体" w:cs="Arial" w:hint="eastAsia"/>
          <w:color w:val="000000" w:themeColor="text1"/>
          <w:kern w:val="0"/>
          <w:sz w:val="24"/>
          <w:szCs w:val="24"/>
        </w:rPr>
        <w:t>）当本基金发生大额申购或赎回情形时，基金管理人可以采用摆动定价机制，以确保基金估值的公平性。</w:t>
      </w:r>
    </w:p>
    <w:p w14:paraId="744163F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15</w:t>
      </w:r>
      <w:r>
        <w:rPr>
          <w:rFonts w:ascii="彩虹粗仿宋" w:eastAsia="彩虹粗仿宋" w:hAnsi="宋体" w:cs="Arial" w:hint="eastAsia"/>
          <w:color w:val="000000" w:themeColor="text1"/>
          <w:kern w:val="0"/>
          <w:sz w:val="24"/>
          <w:szCs w:val="24"/>
        </w:rPr>
        <w:t>）相关法律法规以及监管部门有强制规定的，从其规定。如有新增事项，按法律法规以及监管部门最新规定估值。</w:t>
      </w:r>
    </w:p>
    <w:p w14:paraId="0BA5D44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80929BB" w14:textId="182133E0"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本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由此给基金份额持有人和基金造成的损失以及因该交易日基金资产净值计算顺延错误而引起的损失，基金托管人不承担</w:t>
      </w:r>
      <w:r>
        <w:rPr>
          <w:rFonts w:ascii="彩虹粗仿宋" w:eastAsia="彩虹粗仿宋" w:hAnsi="宋体" w:cs="Arial"/>
          <w:color w:val="000000" w:themeColor="text1"/>
          <w:kern w:val="0"/>
          <w:sz w:val="24"/>
          <w:szCs w:val="24"/>
        </w:rPr>
        <w:t>任何</w:t>
      </w:r>
      <w:r>
        <w:rPr>
          <w:rFonts w:ascii="彩虹粗仿宋" w:eastAsia="彩虹粗仿宋" w:hAnsi="宋体" w:cs="Arial" w:hint="eastAsia"/>
          <w:color w:val="000000" w:themeColor="text1"/>
          <w:kern w:val="0"/>
          <w:sz w:val="24"/>
          <w:szCs w:val="24"/>
        </w:rPr>
        <w:t>责任。</w:t>
      </w:r>
    </w:p>
    <w:p w14:paraId="011F9DD8" w14:textId="4CCFC99A"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根据有关法律法规，基金资产净值计算和基金会计核算的义务由基金管理人</w:t>
      </w:r>
      <w:r>
        <w:rPr>
          <w:rFonts w:ascii="彩虹粗仿宋" w:eastAsia="彩虹粗仿宋" w:hAnsi="宋体" w:cs="Arial" w:hint="eastAsia"/>
          <w:color w:val="000000" w:themeColor="text1"/>
          <w:kern w:val="0"/>
          <w:sz w:val="24"/>
          <w:szCs w:val="24"/>
        </w:rPr>
        <w:lastRenderedPageBreak/>
        <w:t>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基金管理人发布未经基金托管人复核或基金托管人复核不一致的估值结果造成的损失，由基金管理人承担赔偿责任，基金托管人不负赔偿责任。由此给基金份额持有人和基金造成的损失以及因该交易日基金资产净值计算顺延错误而引起的损失，基金托管人不承担</w:t>
      </w:r>
      <w:r>
        <w:rPr>
          <w:rFonts w:ascii="彩虹粗仿宋" w:eastAsia="彩虹粗仿宋" w:hAnsi="宋体" w:cs="Arial"/>
          <w:color w:val="000000" w:themeColor="text1"/>
          <w:kern w:val="0"/>
          <w:sz w:val="24"/>
          <w:szCs w:val="24"/>
        </w:rPr>
        <w:t>任何</w:t>
      </w:r>
      <w:r>
        <w:rPr>
          <w:rFonts w:ascii="彩虹粗仿宋" w:eastAsia="彩虹粗仿宋" w:hAnsi="宋体" w:cs="Arial" w:hint="eastAsia"/>
          <w:color w:val="000000" w:themeColor="text1"/>
          <w:kern w:val="0"/>
          <w:sz w:val="24"/>
          <w:szCs w:val="24"/>
        </w:rPr>
        <w:t>责任。</w:t>
      </w:r>
    </w:p>
    <w:p w14:paraId="483453A7" w14:textId="77777777" w:rsidR="00A82A5F" w:rsidRDefault="003122C7">
      <w:pPr>
        <w:adjustRightInd w:val="0"/>
        <w:snapToGrid w:val="0"/>
        <w:ind w:firstLine="480"/>
        <w:rPr>
          <w:rFonts w:ascii="彩虹粗仿宋" w:eastAsia="彩虹粗仿宋"/>
          <w:color w:val="000000" w:themeColor="text1"/>
          <w:kern w:val="0"/>
          <w:sz w:val="24"/>
          <w:szCs w:val="24"/>
        </w:rPr>
      </w:pPr>
      <w:r>
        <w:rPr>
          <w:rFonts w:ascii="彩虹粗仿宋" w:eastAsia="彩虹粗仿宋" w:hint="eastAsia"/>
          <w:color w:val="000000" w:themeColor="text1"/>
          <w:kern w:val="0"/>
          <w:sz w:val="24"/>
          <w:szCs w:val="24"/>
        </w:rPr>
        <w:t>3.特殊情形的处理</w:t>
      </w:r>
    </w:p>
    <w:p w14:paraId="2F553611" w14:textId="77777777" w:rsidR="00A82A5F" w:rsidRDefault="003122C7">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hint="eastAsia"/>
          <w:color w:val="000000" w:themeColor="text1"/>
          <w:kern w:val="0"/>
          <w:sz w:val="24"/>
          <w:szCs w:val="24"/>
        </w:rPr>
        <w:t>基金管理人、基金托管人按估值方法的第</w:t>
      </w:r>
      <w:r>
        <w:rPr>
          <w:rFonts w:ascii="彩虹粗仿宋" w:eastAsia="彩虹粗仿宋" w:hAnsi="宋体" w:cs="Arial" w:hint="eastAsia"/>
          <w:color w:val="000000" w:themeColor="text1"/>
          <w:kern w:val="0"/>
          <w:sz w:val="24"/>
          <w:szCs w:val="24"/>
        </w:rPr>
        <w:t>（1</w:t>
      </w: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w:t>
      </w:r>
      <w:r>
        <w:rPr>
          <w:rFonts w:ascii="彩虹粗仿宋" w:eastAsia="彩虹粗仿宋" w:hint="eastAsia"/>
          <w:color w:val="000000" w:themeColor="text1"/>
          <w:kern w:val="0"/>
          <w:sz w:val="24"/>
          <w:szCs w:val="24"/>
        </w:rPr>
        <w:t>项进行估值时，所造成的误差不作为基金资产估值</w:t>
      </w:r>
      <w:r>
        <w:rPr>
          <w:rFonts w:ascii="彩虹粗仿宋" w:eastAsia="彩虹粗仿宋" w:cs="Arial" w:hint="eastAsia"/>
          <w:color w:val="000000" w:themeColor="text1"/>
          <w:kern w:val="0"/>
          <w:sz w:val="24"/>
          <w:szCs w:val="24"/>
        </w:rPr>
        <w:t>错误处理。</w:t>
      </w:r>
    </w:p>
    <w:p w14:paraId="5445B18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（三）基金份额净值错误的处理方式</w:t>
      </w:r>
    </w:p>
    <w:p w14:paraId="10B78599" w14:textId="77777777" w:rsidR="00A82A5F" w:rsidRDefault="003122C7">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cs="Arial" w:hint="eastAsia"/>
          <w:color w:val="000000" w:themeColor="text1"/>
          <w:kern w:val="0"/>
          <w:sz w:val="24"/>
          <w:szCs w:val="24"/>
        </w:rPr>
        <w:t>1.</w:t>
      </w:r>
      <w:r>
        <w:rPr>
          <w:rFonts w:ascii="彩虹粗仿宋" w:eastAsia="彩虹粗仿宋" w:hAnsi="宋体" w:cs="Arial" w:hint="eastAsia"/>
          <w:color w:val="000000" w:themeColor="text1"/>
          <w:kern w:val="0"/>
          <w:sz w:val="24"/>
          <w:szCs w:val="24"/>
        </w:rPr>
        <w:t xml:space="preserve"> </w:t>
      </w:r>
      <w:r>
        <w:rPr>
          <w:rFonts w:ascii="彩虹粗仿宋" w:eastAsia="彩虹粗仿宋" w:cs="Arial" w:hint="eastAsia"/>
          <w:color w:val="000000" w:themeColor="text1"/>
          <w:kern w:val="0"/>
          <w:sz w:val="24"/>
          <w:szCs w:val="24"/>
        </w:rPr>
        <w:t>当任一类基金份额净值小数点后4位以内（含第4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Pr>
          <w:rFonts w:ascii="彩虹粗仿宋" w:eastAsia="彩虹粗仿宋" w:hAnsi="宋体" w:cs="Arial" w:hint="eastAsia"/>
          <w:color w:val="000000" w:themeColor="text1"/>
          <w:kern w:val="0"/>
          <w:sz w:val="24"/>
          <w:szCs w:val="24"/>
        </w:rPr>
        <w:t>，基金托管人应给予必要的协助与配合</w:t>
      </w:r>
      <w:r>
        <w:rPr>
          <w:rFonts w:ascii="彩虹粗仿宋" w:eastAsia="彩虹粗仿宋" w:cs="Arial" w:hint="eastAsia"/>
          <w:color w:val="000000" w:themeColor="text1"/>
          <w:kern w:val="0"/>
          <w:sz w:val="24"/>
          <w:szCs w:val="24"/>
        </w:rPr>
        <w:t>。</w:t>
      </w:r>
    </w:p>
    <w:p w14:paraId="6B8CE8FD" w14:textId="77777777" w:rsidR="00A82A5F" w:rsidRDefault="003122C7">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cs="Arial" w:hint="eastAsia"/>
          <w:color w:val="000000" w:themeColor="text1"/>
          <w:kern w:val="0"/>
          <w:sz w:val="24"/>
          <w:szCs w:val="24"/>
        </w:rPr>
        <w:t>2.当基金份额净值计算差错给基金和基金份额持有人造成损失需要进行赔偿时，基金管理人和基金托管人应根据实际情况界定双方承担的责任，经确认后按以下条款进行赔偿：</w:t>
      </w:r>
    </w:p>
    <w:p w14:paraId="17D32AC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cs="Arial" w:hint="eastAsia"/>
          <w:color w:val="000000" w:themeColor="text1"/>
          <w:kern w:val="0"/>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color w:val="000000" w:themeColor="text1"/>
          <w:kern w:val="0"/>
          <w:sz w:val="24"/>
          <w:szCs w:val="24"/>
        </w:rPr>
        <w:t>损失，由基金管理人负责赔付。</w:t>
      </w:r>
    </w:p>
    <w:p w14:paraId="1B1CA0F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13" w:name="OLE_LINK142"/>
      <w:bookmarkStart w:id="114" w:name="OLE_LINK143"/>
      <w:r>
        <w:rPr>
          <w:rFonts w:ascii="彩虹粗仿宋" w:eastAsia="彩虹粗仿宋" w:hAnsi="宋体" w:cs="Arial" w:hint="eastAsia"/>
          <w:color w:val="000000" w:themeColor="text1"/>
          <w:kern w:val="0"/>
          <w:sz w:val="24"/>
          <w:szCs w:val="24"/>
        </w:rPr>
        <w:t>(2)若基金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bookmarkEnd w:id="113"/>
    <w:bookmarkEnd w:id="114"/>
    <w:p w14:paraId="3457A53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216A943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(4)由于基金管理人提供的信息错误（包括但不限于基金申购或赎回金额等），进而导致基金份额净值计算错误而引起的基金份额持有人和基金财产的损失，由基金管理人负责赔付。</w:t>
      </w:r>
    </w:p>
    <w:p w14:paraId="10C3C16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由于不可抗力，或证券/期货交易场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0DFE06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4.基金管理人和基金托管人由于各自技术系统设置而产生的净值计算尾差，以基金管理人计算结果为准。</w:t>
      </w:r>
    </w:p>
    <w:p w14:paraId="67B030D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5.前述内容如法律法规或者监管部门另有规定的，从其规定。如果行业另有通行做法，双方当事人应本着平等和保护基金份额持有人利益的原则进行协商。</w:t>
      </w:r>
    </w:p>
    <w:p w14:paraId="6D4ECA7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（四）暂停估值的情形</w:t>
      </w:r>
    </w:p>
    <w:p w14:paraId="4B6CBCD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1.基金投资所涉及的证券/期货交易市场或外汇市场遇法定节假日或因其他原因暂停营业时；</w:t>
      </w:r>
    </w:p>
    <w:p w14:paraId="2595DD7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2.因不可抗力致使基金管理人、基金托管人无法准确评估基金资产价值时；</w:t>
      </w:r>
    </w:p>
    <w:p w14:paraId="015E427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3.当特定资产占前一估值日基金资产净值50%以上的，经与基金托管人协商确认后，基金管理人应当暂停估值；</w:t>
      </w:r>
    </w:p>
    <w:p w14:paraId="6D81608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4.法律法规、中国证监会和基金合同认定的其它情形。</w:t>
      </w:r>
    </w:p>
    <w:p w14:paraId="17603A2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（五）基金会计制度</w:t>
      </w:r>
    </w:p>
    <w:p w14:paraId="61A4162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按国家有关部门规定的会计制度执行。</w:t>
      </w:r>
    </w:p>
    <w:p w14:paraId="6EF1C4A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（六）基金账册的建立</w:t>
      </w:r>
    </w:p>
    <w:p w14:paraId="4C12449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3DEFDF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（七）基金财务报表与报告的编制和复核</w:t>
      </w:r>
    </w:p>
    <w:p w14:paraId="4CC10E9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1.财务报表的编制</w:t>
      </w:r>
    </w:p>
    <w:p w14:paraId="255ABE3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基金财务报表由基金管理人编制，基金托管人复核。</w:t>
      </w:r>
    </w:p>
    <w:p w14:paraId="253FC5E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2.报表复核</w:t>
      </w:r>
    </w:p>
    <w:p w14:paraId="1A990AA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基金托管人在收到基金管理人编制的基金财务报表后，进行独立的复核。核对不符时，应及时通知基金管理人共同查出原因，进行调整，直至双方数据完全一致。</w:t>
      </w:r>
    </w:p>
    <w:p w14:paraId="7C3ACF0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3.财务报表的编制与复核时间安排</w:t>
      </w:r>
    </w:p>
    <w:p w14:paraId="772462D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(1)报表的编制</w:t>
      </w:r>
    </w:p>
    <w:p w14:paraId="49F1516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15" w:name="OLE_LINK146"/>
      <w:bookmarkStart w:id="116" w:name="OLE_LINK147"/>
      <w:r>
        <w:rPr>
          <w:rFonts w:ascii="彩虹粗仿宋" w:eastAsia="彩虹粗仿宋" w:hAnsi="宋体" w:cs="Arial" w:hint="eastAsia"/>
          <w:color w:val="000000" w:themeColor="text1"/>
          <w:kern w:val="0"/>
          <w:sz w:val="24"/>
          <w:szCs w:val="24"/>
        </w:rPr>
        <w:t>基金管理人</w:t>
      </w:r>
      <w:r>
        <w:rPr>
          <w:rFonts w:ascii="彩虹粗仿宋" w:eastAsia="彩虹粗仿宋" w:hAnsi="宋体" w:cs="Arial" w:hint="eastAsia"/>
          <w:color w:val="000000" w:themeColor="text1"/>
          <w:sz w:val="24"/>
        </w:rPr>
        <w:t>应当在每月结束后5个工作日内完成月度报表的编制；</w:t>
      </w:r>
      <w:r>
        <w:rPr>
          <w:rFonts w:ascii="彩虹粗仿宋" w:eastAsia="彩虹粗仿宋" w:hAnsi="宋体" w:cs="Arial" w:hint="eastAsia"/>
          <w:color w:val="000000" w:themeColor="text1"/>
          <w:kern w:val="0"/>
          <w:sz w:val="24"/>
          <w:szCs w:val="24"/>
        </w:rPr>
        <w:t>在每个季度结束之日起15个工作日内完成基金季度报告的编制；在上半年结束之日起2个月内完成基金中期报告的编制；在每年结束之日起3个月内完成基金年度报告的编制。基金年度报告的财务会计报告应当经过审计。《基金合同》生效不足两个月的，基金管理人可以不编制当期季度报告、中期报告或者年度报告。</w:t>
      </w:r>
    </w:p>
    <w:bookmarkEnd w:id="115"/>
    <w:bookmarkEnd w:id="116"/>
    <w:p w14:paraId="49CC171C"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(2)报表的复核</w:t>
      </w:r>
    </w:p>
    <w:p w14:paraId="359F6656"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F25D0ED"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基金管理人应留足充分的时间，便于基金托管人复核相关报表及报告。</w:t>
      </w:r>
      <w:r>
        <w:rPr>
          <w:rFonts w:ascii="彩虹粗仿宋" w:eastAsia="彩虹粗仿宋" w:hAnsi="宋体" w:cs="Arial" w:hint="eastAsia"/>
          <w:color w:val="000000" w:themeColor="text1"/>
          <w:sz w:val="24"/>
        </w:rPr>
        <w:t>如果基金管理人与基金托管人不能于应当发布公告之日之前就相关报表达成一致，基金管理人按照其编制的报表对外发布公告，基金托管人有权就相关情况报中国证监会备案。</w:t>
      </w:r>
    </w:p>
    <w:p w14:paraId="28CCEC37"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（八）基金管理人应在编制季度报告、中期报告或者年度报告之前及时向基金托管人提供基金业绩比较基准的基础数据和编制结果。</w:t>
      </w:r>
    </w:p>
    <w:p w14:paraId="7313CC02"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（九）实施侧袋机制期间的基金资产估值</w:t>
      </w:r>
    </w:p>
    <w:p w14:paraId="72B62366" w14:textId="77777777" w:rsidR="00A82A5F" w:rsidRDefault="003122C7">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本基金实施侧袋机制的，应根据本部分的约定对主袋账户资产进行估值并披露主袋账户的基金净值信息，暂停披露侧袋账户份额净值。</w:t>
      </w:r>
    </w:p>
    <w:bookmarkEnd w:id="109"/>
    <w:p w14:paraId="588EC4D5" w14:textId="77777777" w:rsidR="00A82A5F" w:rsidRDefault="00A82A5F">
      <w:pPr>
        <w:pStyle w:val="a0"/>
        <w:adjustRightInd w:val="0"/>
        <w:snapToGrid w:val="0"/>
        <w:ind w:firstLineChars="0" w:firstLine="0"/>
        <w:rPr>
          <w:rFonts w:ascii="彩虹粗仿宋" w:eastAsia="彩虹粗仿宋" w:hAnsi="宋体" w:cs="Arial"/>
          <w:color w:val="000000" w:themeColor="text1"/>
          <w:kern w:val="0"/>
          <w:sz w:val="24"/>
        </w:rPr>
      </w:pPr>
    </w:p>
    <w:p w14:paraId="78220AD3" w14:textId="77777777" w:rsidR="00A82A5F" w:rsidRDefault="003122C7">
      <w:pPr>
        <w:pStyle w:val="2"/>
        <w:jc w:val="center"/>
        <w:rPr>
          <w:rFonts w:ascii="彩虹粗仿宋" w:eastAsia="彩虹粗仿宋"/>
          <w:color w:val="000000" w:themeColor="text1"/>
        </w:rPr>
      </w:pPr>
      <w:bookmarkStart w:id="117" w:name="_Toc124325893"/>
      <w:r>
        <w:rPr>
          <w:rFonts w:ascii="彩虹粗仿宋" w:eastAsia="彩虹粗仿宋" w:hint="eastAsia"/>
          <w:color w:val="000000" w:themeColor="text1"/>
        </w:rPr>
        <w:t>九、基金收益分配</w:t>
      </w:r>
      <w:bookmarkEnd w:id="117"/>
    </w:p>
    <w:p w14:paraId="4D062CA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基金收益分配是指按规定将基金的可分配收益按基金份额进行比例分配。</w:t>
      </w:r>
    </w:p>
    <w:p w14:paraId="00EAC63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（一）基金收益分配的原则</w:t>
      </w:r>
    </w:p>
    <w:p w14:paraId="49C3593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基金收益分配应遵循下列原则：</w:t>
      </w:r>
    </w:p>
    <w:p w14:paraId="6D32682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1、在符合有关基金分红条件的前提下，基金管理人可以根据实际情况进行收益分配，具体分配方案以公告为准，若《基金合同》生效不满3个月可不进行收益分配；</w:t>
      </w:r>
    </w:p>
    <w:p w14:paraId="41D1E3D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对于收益分配方式为红利再投资的基金份额，每份基金份额（原份额）所获得的红利再投资份额的持有期限，按原份额的持有期限计算；</w:t>
      </w:r>
    </w:p>
    <w:p w14:paraId="2C1EF3A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3、基金收益分配后各类基金份额净值不能低于面值，即基金收益分配基准日的各类基金份额净值减去该类每单位基金份额收益分配金额后不能低于面值；</w:t>
      </w:r>
    </w:p>
    <w:p w14:paraId="3A75C56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4、本基金同一类别的每一基金份额享有同等分配权；</w:t>
      </w:r>
    </w:p>
    <w:p w14:paraId="5323C12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5、法律法规或监管机构另有规定的，从其规定。</w:t>
      </w:r>
    </w:p>
    <w:p w14:paraId="576A1F8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在不违反法律法规、基金合同的约定以及对基金份额持有人利益无实质性不利影响的情况下，基金管理人在与基金托管人协商一致并履行适当程序后可调整基金收益的分配原则和支付方式。</w:t>
      </w:r>
    </w:p>
    <w:p w14:paraId="1D49960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（二）基金收益分配的时间和程序</w:t>
      </w:r>
    </w:p>
    <w:p w14:paraId="2B0D65A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收益分配方案由基金管理人拟定，并由基金托管人复核，依据相关规定在规定媒介公告。基金收益分配方案公告后(依据具体方案的规定)，基金管理人就支付的现金红利向基金托管人发送划款指令，基金托管人按照基金管理人的指令及时进行分红资金的划付。</w:t>
      </w:r>
    </w:p>
    <w:p w14:paraId="3C01B31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B1D232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（三）实施侧袋机制期间的收益分配</w:t>
      </w:r>
    </w:p>
    <w:p w14:paraId="7CF21D9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本基金实施侧袋机制的，侧袋账户不进行收益分配，详见招募说明书的规定或相关公告。</w:t>
      </w:r>
    </w:p>
    <w:p w14:paraId="283FBFF6"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30B414F6" w14:textId="77777777" w:rsidR="00A82A5F" w:rsidRDefault="003122C7">
      <w:pPr>
        <w:pStyle w:val="2"/>
        <w:jc w:val="center"/>
        <w:rPr>
          <w:rFonts w:ascii="彩虹粗仿宋" w:eastAsia="彩虹粗仿宋"/>
          <w:color w:val="000000" w:themeColor="text1"/>
        </w:rPr>
      </w:pPr>
      <w:bookmarkStart w:id="118" w:name="_Toc124325894"/>
      <w:r>
        <w:rPr>
          <w:rFonts w:ascii="彩虹粗仿宋" w:eastAsia="彩虹粗仿宋" w:hint="eastAsia"/>
          <w:color w:val="000000" w:themeColor="text1"/>
        </w:rPr>
        <w:t>十、基金信息披露</w:t>
      </w:r>
      <w:bookmarkEnd w:id="118"/>
    </w:p>
    <w:p w14:paraId="0794FDF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（一）保密义务</w:t>
      </w:r>
    </w:p>
    <w:p w14:paraId="79E04D2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387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1.非因基金管理人和基金托管人的原因导致保密信息被披露、泄露或公开；</w:t>
      </w:r>
    </w:p>
    <w:p w14:paraId="2319972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2.基金管理人和基金托管人为遵守和服从法院判决或裁定、仲裁裁决或中国证监会等监管机构的命令、决定所做出的信息披露或公开；</w:t>
      </w:r>
    </w:p>
    <w:p w14:paraId="630E234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3.因审计、法律等外部专业顾问提供服务而向其提供的情况。</w:t>
      </w:r>
    </w:p>
    <w:p w14:paraId="306C985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（二）信息披露的内容</w:t>
      </w:r>
    </w:p>
    <w:p w14:paraId="511DF06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基金的信息披露主要包括基金招募说明书、《基金合同》、基金托管协议、</w:t>
      </w:r>
      <w:r>
        <w:rPr>
          <w:rFonts w:ascii="彩虹粗仿宋" w:eastAsia="彩虹粗仿宋" w:hAnsi="宋体" w:cs="Arial" w:hint="eastAsia"/>
          <w:color w:val="000000" w:themeColor="text1"/>
          <w:kern w:val="0"/>
          <w:sz w:val="24"/>
          <w:szCs w:val="24"/>
        </w:rPr>
        <w:lastRenderedPageBreak/>
        <w:t>基金产品资料概要、基金份额发售公告、《基金合同》生效公告、基金净值信息、基金份额申购、赎回价格、基金定期报告（包括基金年度报告、基金中期报告和基金季度报告）、临时报告、澄清公告、基金份额持有人大会决议、实施侧袋机制期间的信息披露、清算报告、</w:t>
      </w:r>
      <w:r>
        <w:rPr>
          <w:rFonts w:ascii="彩虹粗仿宋" w:eastAsia="彩虹粗仿宋" w:hAnsi="宋体" w:cs="Arial" w:hint="eastAsia"/>
          <w:bCs/>
          <w:color w:val="000000" w:themeColor="text1"/>
          <w:kern w:val="0"/>
          <w:sz w:val="24"/>
          <w:szCs w:val="24"/>
        </w:rPr>
        <w:t>公开发行的</w:t>
      </w:r>
      <w:r>
        <w:rPr>
          <w:rFonts w:ascii="彩虹粗仿宋" w:eastAsia="彩虹粗仿宋" w:hAnsi="宋体" w:cs="Arial" w:hint="eastAsia"/>
          <w:color w:val="000000" w:themeColor="text1"/>
          <w:kern w:val="0"/>
          <w:sz w:val="24"/>
          <w:szCs w:val="24"/>
        </w:rPr>
        <w:t>证券公司短期公司债券投资情况公告、资产支持证券投资情况公告、港股通标的股票投资情况公告、国债期货交易情况公告、信用衍生品投资情况公告、投资基金的信息披露、中国证监会规定的其他信息。本基金投资存托凭证的信息披露依照境内上市交易的股票执行。基金年度报告中的财务会计报告应当经过符合《中华人民共和国证券法》规定的会计师事务所审计后，方可披露。</w:t>
      </w:r>
    </w:p>
    <w:p w14:paraId="049C068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（三）基金托管人和基金管理人在信息披露中的职责和信息披露程序</w:t>
      </w:r>
    </w:p>
    <w:p w14:paraId="70B3D0A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1.职责</w:t>
      </w:r>
    </w:p>
    <w:p w14:paraId="3D58351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和基金管理人在信息披露过程中应以保护基金份额持有人利益为宗旨，诚实信用，严守秘密。基金管理人负责办理与基金有关的信息披露事宜，基金托管人应当按照相关法律法规规定和《基金合同》的约定，对于上一款规定的应由基金托管人复核的事项进行复核，基金托管人复核无误后，由基金管理人予以公布。基金管理人在信息披露时，应说明基金托管人所复核的数据和信息。对于基金托管人复核结果与管理人无法达成一致的，基金管理人应按照有关法律法规进行信息披露。</w:t>
      </w:r>
    </w:p>
    <w:p w14:paraId="7BF9839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对于不需要基金托管人复核的信息，基金管理人在公告前应告知基金托管人。</w:t>
      </w:r>
    </w:p>
    <w:p w14:paraId="2E3A996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基金管理人和基金托管人应积极配合、互相监督，保证其履行按照法定方式和时限披露的义务。</w:t>
      </w:r>
    </w:p>
    <w:p w14:paraId="191B614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基金托管人应当在中国证监会规定的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4A6FB35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当出现下述情况时，基金管理人和基金托管人可暂停或延迟披露基金相关信息：</w:t>
      </w:r>
    </w:p>
    <w:p w14:paraId="143E801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（1）不可抗力；</w:t>
      </w:r>
    </w:p>
    <w:p w14:paraId="3CC594B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（2）发生暂停估值的情形；</w:t>
      </w:r>
    </w:p>
    <w:p w14:paraId="61375B0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（3）法律法规、基金合同或中国证监会规定的情况。</w:t>
      </w:r>
    </w:p>
    <w:p w14:paraId="23AD131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2.程序</w:t>
      </w:r>
    </w:p>
    <w:p w14:paraId="41C1F52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按有关规定须经基金托管人复核的信息披露文件，由基金管理人起草、并经基金托管人复核后由基金管理人公告。发生《基金合同》中规定需要披露的事项时，按《基金合同》规定公布。</w:t>
      </w:r>
    </w:p>
    <w:p w14:paraId="48E6C1E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3.信息文本的存放</w:t>
      </w:r>
    </w:p>
    <w:p w14:paraId="57AA2BA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依法必须披露的信息发布后，基金管理人、基金托管人应当按照相关法律法规规定将信息置备于公司住所，供社会公众查阅、复制。投资者在支付工本费后可在合理时间获得上述文件的复制件或复印件。基金管理人和基金托管人应保证文本的内容与所公告的内容完全一致。</w:t>
      </w:r>
    </w:p>
    <w:p w14:paraId="7F9D3FD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（四）实施侧袋机制期间的信息披露</w:t>
      </w:r>
    </w:p>
    <w:p w14:paraId="0299B8C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本基金实施侧袋机制的，相关信息披露义务人应当根据法律法规、基金合同和招募说明书的规定进行信息披露，详见招募说明书的规定或相关公告。</w:t>
      </w:r>
    </w:p>
    <w:p w14:paraId="46B3598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（五）法律法规或监管部门对适用于本基金的信息披露另有规定的，从其规定。如规定发生变化的，从其最新规定。</w:t>
      </w:r>
    </w:p>
    <w:p w14:paraId="3659E3B0"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3180A2FE" w14:textId="77777777" w:rsidR="00A82A5F" w:rsidRDefault="003122C7">
      <w:pPr>
        <w:pStyle w:val="2"/>
        <w:jc w:val="center"/>
        <w:rPr>
          <w:rFonts w:ascii="彩虹粗仿宋" w:eastAsia="彩虹粗仿宋"/>
          <w:color w:val="000000" w:themeColor="text1"/>
        </w:rPr>
      </w:pPr>
      <w:bookmarkStart w:id="119" w:name="_Toc124325895"/>
      <w:r>
        <w:rPr>
          <w:rFonts w:ascii="彩虹粗仿宋" w:eastAsia="彩虹粗仿宋" w:hint="eastAsia"/>
          <w:color w:val="000000" w:themeColor="text1"/>
        </w:rPr>
        <w:t>十一、基金费用</w:t>
      </w:r>
      <w:bookmarkEnd w:id="119"/>
    </w:p>
    <w:p w14:paraId="2EF9ABC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（一）基金管理费的计提比例和计提方法</w:t>
      </w:r>
    </w:p>
    <w:p w14:paraId="0D11FF5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于本基金管理人所管理的其他基金的部分不收取管理费。本基金的管理费按前一日基金资产净值扣除前一日所持有本基金管理人管理的其他基金份额所对应的资产净值后的余额（若为负数，则取0）的0.60%年费率计提。管理费的计算方法如下：</w:t>
      </w:r>
    </w:p>
    <w:p w14:paraId="067E2EB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H＝E×</w:t>
      </w:r>
      <w:r>
        <w:rPr>
          <w:rFonts w:ascii="彩虹粗仿宋" w:eastAsia="彩虹粗仿宋" w:hAnsi="宋体" w:cs="Arial"/>
          <w:color w:val="000000" w:themeColor="text1"/>
          <w:kern w:val="0"/>
          <w:sz w:val="24"/>
          <w:szCs w:val="24"/>
        </w:rPr>
        <w:t>0.60</w:t>
      </w:r>
      <w:r>
        <w:rPr>
          <w:rFonts w:ascii="彩虹粗仿宋" w:eastAsia="彩虹粗仿宋" w:hAnsi="宋体" w:cs="Arial" w:hint="eastAsia"/>
          <w:color w:val="000000" w:themeColor="text1"/>
          <w:kern w:val="0"/>
          <w:sz w:val="24"/>
          <w:szCs w:val="24"/>
        </w:rPr>
        <w:t>%÷当年天数</w:t>
      </w:r>
    </w:p>
    <w:p w14:paraId="31D3BE1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H为每日应计提的基金管理费</w:t>
      </w:r>
    </w:p>
    <w:p w14:paraId="0DD100F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E为前一日的基金资产净值扣除前一日所持有本基金管理人管理的其他基金份额所对应的资产净值后的余额，若为负数，则E取0</w:t>
      </w:r>
    </w:p>
    <w:p w14:paraId="057EEAC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（二）基金托管费的计提比例和计提方法</w:t>
      </w:r>
    </w:p>
    <w:p w14:paraId="6559968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本基金投资于本基金托管人所托管的其他基金的部分不收取托管费。本基金的托管费按前一日基金资产净值扣除前一日所持有基金托管人托管的其他基金份额所对应的资产净值后的余额（若为负数，则取0）的0.1</w:t>
      </w: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%的年费率计提。托管费的计算方法如下：</w:t>
      </w:r>
    </w:p>
    <w:p w14:paraId="38EFFAA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H＝E×</w:t>
      </w:r>
      <w:r>
        <w:rPr>
          <w:rFonts w:ascii="彩虹粗仿宋" w:eastAsia="彩虹粗仿宋" w:hAnsi="宋体" w:cs="Arial"/>
          <w:color w:val="000000" w:themeColor="text1"/>
          <w:kern w:val="0"/>
          <w:sz w:val="24"/>
          <w:szCs w:val="24"/>
        </w:rPr>
        <w:t>0.15</w:t>
      </w:r>
      <w:r>
        <w:rPr>
          <w:rFonts w:ascii="彩虹粗仿宋" w:eastAsia="彩虹粗仿宋" w:hAnsi="宋体" w:cs="Arial" w:hint="eastAsia"/>
          <w:color w:val="000000" w:themeColor="text1"/>
          <w:kern w:val="0"/>
          <w:sz w:val="24"/>
          <w:szCs w:val="24"/>
        </w:rPr>
        <w:t>%÷当年天数</w:t>
      </w:r>
    </w:p>
    <w:p w14:paraId="696EC09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H为每日应计提的基金托管费</w:t>
      </w:r>
    </w:p>
    <w:p w14:paraId="44A5D63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E为前一日的基金资产净值扣除前一日所持有基金托管人托管的其他基金份额所对应的资产净值后的余额，若为负数，则E取0</w:t>
      </w:r>
    </w:p>
    <w:p w14:paraId="2900666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（三）基金销售服务费</w:t>
      </w:r>
    </w:p>
    <w:p w14:paraId="628BFB0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本基金A类基金份额不收取销售服务费，C类基金份额的销售服务费年费率为</w:t>
      </w:r>
      <w:r>
        <w:rPr>
          <w:rFonts w:ascii="彩虹粗仿宋" w:eastAsia="彩虹粗仿宋" w:hAnsi="宋体" w:cs="Arial"/>
          <w:color w:val="000000" w:themeColor="text1"/>
          <w:kern w:val="0"/>
          <w:sz w:val="24"/>
          <w:szCs w:val="24"/>
        </w:rPr>
        <w:t>0.20</w:t>
      </w:r>
      <w:r>
        <w:rPr>
          <w:rFonts w:ascii="彩虹粗仿宋" w:eastAsia="彩虹粗仿宋" w:hAnsi="宋体" w:cs="Arial" w:hint="eastAsia"/>
          <w:color w:val="000000" w:themeColor="text1"/>
          <w:kern w:val="0"/>
          <w:sz w:val="24"/>
          <w:szCs w:val="24"/>
        </w:rPr>
        <w:t>%。本基金销售服务费将专门用于本基金的销售与基金份额持有人服务。</w:t>
      </w:r>
    </w:p>
    <w:p w14:paraId="2F2A796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销售服务费按前一日C类基金份额的基金资产净值的</w:t>
      </w:r>
      <w:r>
        <w:rPr>
          <w:rFonts w:ascii="彩虹粗仿宋" w:eastAsia="彩虹粗仿宋" w:hAnsi="宋体" w:cs="Arial"/>
          <w:color w:val="000000" w:themeColor="text1"/>
          <w:kern w:val="0"/>
          <w:sz w:val="24"/>
          <w:szCs w:val="24"/>
        </w:rPr>
        <w:t>0.20</w:t>
      </w:r>
      <w:r>
        <w:rPr>
          <w:rFonts w:ascii="彩虹粗仿宋" w:eastAsia="彩虹粗仿宋" w:hAnsi="宋体" w:cs="Arial" w:hint="eastAsia"/>
          <w:color w:val="000000" w:themeColor="text1"/>
          <w:kern w:val="0"/>
          <w:sz w:val="24"/>
          <w:szCs w:val="24"/>
        </w:rPr>
        <w:t>%年费率计提。计算方法如下：</w:t>
      </w:r>
    </w:p>
    <w:p w14:paraId="0B8095A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H＝E×</w:t>
      </w:r>
      <w:r>
        <w:rPr>
          <w:rFonts w:ascii="彩虹粗仿宋" w:eastAsia="彩虹粗仿宋" w:hAnsi="宋体" w:cs="Arial"/>
          <w:color w:val="000000" w:themeColor="text1"/>
          <w:kern w:val="0"/>
          <w:sz w:val="24"/>
          <w:szCs w:val="24"/>
        </w:rPr>
        <w:t>0.20</w:t>
      </w:r>
      <w:r>
        <w:rPr>
          <w:rFonts w:ascii="彩虹粗仿宋" w:eastAsia="彩虹粗仿宋" w:hAnsi="宋体" w:cs="Arial" w:hint="eastAsia"/>
          <w:color w:val="000000" w:themeColor="text1"/>
          <w:kern w:val="0"/>
          <w:sz w:val="24"/>
          <w:szCs w:val="24"/>
        </w:rPr>
        <w:t>%÷当年天数</w:t>
      </w:r>
    </w:p>
    <w:p w14:paraId="5EF8E4D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H为C类基金份额每日应计提的销售服务费</w:t>
      </w:r>
    </w:p>
    <w:p w14:paraId="054D84D1" w14:textId="77777777" w:rsidR="00A82A5F" w:rsidRDefault="003122C7">
      <w:pPr>
        <w:adjustRightInd w:val="0"/>
        <w:snapToGrid w:val="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E为C类基金份额前一日的基金资产净值</w:t>
      </w:r>
    </w:p>
    <w:p w14:paraId="3A0BA96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销售服务费计提后按规定收取或返还投资者的金额以登记机构的计算结果为准。</w:t>
      </w:r>
    </w:p>
    <w:p w14:paraId="792C369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的开户费用、账户维护费、基金的证券、期货、信用衍生品交易费用、基金的银行汇划费用、《基金合同》生效后与基金相关的信息披露费用（除法律法规、中国证监会另有规定外）、基金份额持有人大会费用、《基金合同》生效后与基金相关的会计师费、律师费、诉讼费和仲裁费、因投资港股通标的股票而产生的各项合理费用、基金投资其他基金产生的其他基金的费用（包括但不限于申购费、赎回费、销售服务费）（</w:t>
      </w:r>
      <w:r>
        <w:rPr>
          <w:rFonts w:ascii="彩虹粗仿宋" w:eastAsia="彩虹粗仿宋" w:hAnsi="宋体" w:cs="Arial" w:hint="eastAsia"/>
          <w:bCs/>
          <w:color w:val="000000" w:themeColor="text1"/>
          <w:kern w:val="0"/>
          <w:sz w:val="24"/>
          <w:szCs w:val="24"/>
        </w:rPr>
        <w:t>但法律法规禁止从基金财产中列支的除外）</w:t>
      </w:r>
      <w:r>
        <w:rPr>
          <w:rFonts w:ascii="彩虹粗仿宋" w:eastAsia="彩虹粗仿宋" w:hAnsi="宋体" w:cs="Arial" w:hint="eastAsia"/>
          <w:color w:val="000000" w:themeColor="text1"/>
          <w:kern w:val="0"/>
          <w:sz w:val="24"/>
          <w:szCs w:val="24"/>
        </w:rPr>
        <w:t>等根据有关法律法规、《基金合同》及相应协议的规定，列入当期基金费用。</w:t>
      </w:r>
    </w:p>
    <w:p w14:paraId="30376F8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（五）不列入基金费用的项目</w:t>
      </w:r>
    </w:p>
    <w:p w14:paraId="079CEF7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1.基金管理人和基金托管人因未履行或未完全履行义务导致的费用支出或基金财产的损失；</w:t>
      </w:r>
    </w:p>
    <w:p w14:paraId="2A9B8AD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2.基金管理人和基金托管人处理与基金运作无关的事项发生的费用；</w:t>
      </w:r>
    </w:p>
    <w:p w14:paraId="2C2A0F1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3.《基金合同》生效前的相关费用；</w:t>
      </w:r>
    </w:p>
    <w:p w14:paraId="59BEC09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4.其他根据相关法律法规及中国证监会的有关规定不得列入基金费用的项目。</w:t>
      </w:r>
    </w:p>
    <w:p w14:paraId="05EF81A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（六）基金管理费、基金托管费和基金销售服务费的调整</w:t>
      </w:r>
    </w:p>
    <w:p w14:paraId="7499A7B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0975899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（七）实施侧袋机制期间的基金费用</w:t>
      </w:r>
    </w:p>
    <w:p w14:paraId="504DB5D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本基金实施侧袋机制的，与侧袋账户有关的费用可以从侧袋账户中列支，但应待侧袋账户资产变现后方可列支，有关费用可酌情收取或减免，但不得收取管理费，详见招募说明书的规定或相关公告。</w:t>
      </w:r>
    </w:p>
    <w:p w14:paraId="5046C31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（八）基金管理费、基金托管费和基金销售服务费的复核程序、支付方式和时间</w:t>
      </w:r>
    </w:p>
    <w:p w14:paraId="45B7211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1.复核程序</w:t>
      </w:r>
    </w:p>
    <w:p w14:paraId="1D7D8A7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基金托管人对基金管理人计提的基金管理费、基金托管费等，根据本托管协议和《基金合同》的有关规定进行复核。</w:t>
      </w:r>
    </w:p>
    <w:p w14:paraId="7435843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2.支付方式和时间</w:t>
      </w:r>
    </w:p>
    <w:p w14:paraId="382C1A7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基金管理费、基金托管费每日计提，按月支付。由基金托管人根据与基金管</w:t>
      </w:r>
      <w:r>
        <w:rPr>
          <w:rFonts w:ascii="彩虹粗仿宋" w:eastAsia="彩虹粗仿宋" w:hAnsi="宋体" w:cs="Arial" w:hint="eastAsia"/>
          <w:color w:val="000000" w:themeColor="text1"/>
          <w:kern w:val="0"/>
          <w:sz w:val="24"/>
          <w:szCs w:val="24"/>
        </w:rPr>
        <w:lastRenderedPageBreak/>
        <w:t>理人核对一致的财务数据，自动在次月首日起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EFF3A8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基金销售服务费每日计提。</w:t>
      </w:r>
    </w:p>
    <w:p w14:paraId="7074AF2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（1）直销机构及其销售子公司：</w:t>
      </w:r>
    </w:p>
    <w:p w14:paraId="47700C7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投资者通过直销机构及其销售子公司认购/申购C类基金份额的不收取销售服务费。对于通过直销机构及其销售子公司认购/申购该类基金份额的情况，将先行计提相应的销售服务费，待投资者赎回该笔基金份额或基金合同终止时，该费用将随同赎回款（或清算款）一并返还给投资者。</w:t>
      </w:r>
    </w:p>
    <w:p w14:paraId="3099F10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（2）其他销售机构：</w:t>
      </w:r>
    </w:p>
    <w:p w14:paraId="1CC0E9F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投资者持续持有期限未超过一年（即365天，下同）的C类基金份额收取的销售服务费，由基金管理人向基金托管人发送基金销售服务费划款指令，基金托管人于次月首日起5个工作日内按照指定的账户路径从基金财产中一次性支付给基金管理人并由基金管理人代付给各基金销售机构。若遇法定节假日、公休日或不可抗力致使无法按时支付等，支付日期顺延。费用扣划后，基金管理人应进行核对，如发现数据不符，及时联系基金托管人协商解决。</w:t>
      </w:r>
    </w:p>
    <w:p w14:paraId="2FDD9B8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投资者持续持有期限超过一年的C类基金份额继续计提的销售服务费，在投资者赎回该笔基金份额或基金合同终止时，随赎回款（或清算款）一并返还给投资者。其中，持续持有期限为基金合同生效日（针对募集期内认购的基金份额）（含）或该笔基金份额申购确认日（含）至赎回确认日（不含）或基金最后运作日（含）间的天数。</w:t>
      </w:r>
    </w:p>
    <w:p w14:paraId="63A547B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因涉及相关数据，应付销售服务费的计算和复核工作由基金管理人完成，相关信息以注册登记机构计算结果为准，基金托管人不承担复核责任。</w:t>
      </w:r>
    </w:p>
    <w:p w14:paraId="2FA99A3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188CF0E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（九）违规处理方式</w:t>
      </w:r>
    </w:p>
    <w:p w14:paraId="720313C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B1B94A8"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6C22F487" w14:textId="77777777" w:rsidR="00A82A5F" w:rsidRDefault="003122C7">
      <w:pPr>
        <w:pStyle w:val="2"/>
        <w:jc w:val="center"/>
        <w:rPr>
          <w:rFonts w:ascii="彩虹粗仿宋" w:eastAsia="彩虹粗仿宋"/>
          <w:color w:val="000000" w:themeColor="text1"/>
        </w:rPr>
      </w:pPr>
      <w:bookmarkStart w:id="120" w:name="_Toc124325896"/>
      <w:r>
        <w:rPr>
          <w:rFonts w:ascii="彩虹粗仿宋" w:eastAsia="彩虹粗仿宋" w:hint="eastAsia"/>
          <w:color w:val="000000" w:themeColor="text1"/>
        </w:rPr>
        <w:lastRenderedPageBreak/>
        <w:t>十二、基金份额持有人名册的保管</w:t>
      </w:r>
      <w:bookmarkEnd w:id="120"/>
    </w:p>
    <w:p w14:paraId="140BD6D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律法规承担责任。</w:t>
      </w:r>
    </w:p>
    <w:p w14:paraId="253E541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632DE474"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72A22302" w14:textId="77777777" w:rsidR="00A82A5F" w:rsidRDefault="003122C7">
      <w:pPr>
        <w:pStyle w:val="2"/>
        <w:jc w:val="center"/>
        <w:rPr>
          <w:rFonts w:ascii="彩虹粗仿宋" w:eastAsia="彩虹粗仿宋"/>
          <w:color w:val="000000" w:themeColor="text1"/>
        </w:rPr>
      </w:pPr>
      <w:bookmarkStart w:id="121" w:name="_Toc124325897"/>
      <w:r>
        <w:rPr>
          <w:rFonts w:ascii="彩虹粗仿宋" w:eastAsia="彩虹粗仿宋" w:hint="eastAsia"/>
          <w:color w:val="000000" w:themeColor="text1"/>
        </w:rPr>
        <w:t>十三、基金有关文件档案的保存</w:t>
      </w:r>
      <w:bookmarkEnd w:id="121"/>
    </w:p>
    <w:p w14:paraId="5126010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（一）档案保存</w:t>
      </w:r>
    </w:p>
    <w:p w14:paraId="3A01782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656C370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（二）合同档案的建立</w:t>
      </w:r>
    </w:p>
    <w:p w14:paraId="0387075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1.除本协议另有规定外，基金管理人签署重大合同文本后，应及时将合同文本正本送达基金托管人处。</w:t>
      </w:r>
    </w:p>
    <w:p w14:paraId="6E31769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2.基金管理人应及时将与本基金账务处理、资金划拨等有关的合同、协议传真基金托管人。</w:t>
      </w:r>
    </w:p>
    <w:p w14:paraId="7AA02EF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（三）变更与协助</w:t>
      </w:r>
    </w:p>
    <w:p w14:paraId="6E37848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若基金管理人/基金托管人发生变更，未变更的一方有义务协助变更后的接任人接收相应文件。</w:t>
      </w:r>
    </w:p>
    <w:p w14:paraId="722454D2"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76D7034F" w14:textId="77777777" w:rsidR="00A82A5F" w:rsidRDefault="003122C7">
      <w:pPr>
        <w:pStyle w:val="2"/>
        <w:jc w:val="center"/>
        <w:rPr>
          <w:rFonts w:ascii="彩虹粗仿宋" w:eastAsia="彩虹粗仿宋"/>
          <w:color w:val="000000" w:themeColor="text1"/>
        </w:rPr>
      </w:pPr>
      <w:bookmarkStart w:id="122" w:name="_Toc124325898"/>
      <w:r>
        <w:rPr>
          <w:rFonts w:ascii="彩虹粗仿宋" w:eastAsia="彩虹粗仿宋" w:hint="eastAsia"/>
          <w:color w:val="000000" w:themeColor="text1"/>
        </w:rPr>
        <w:t>十四、基金管理人和基金托管人的更换</w:t>
      </w:r>
      <w:bookmarkEnd w:id="122"/>
    </w:p>
    <w:p w14:paraId="31A6D3D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（一）基金管理人职责终止的情形</w:t>
      </w:r>
    </w:p>
    <w:p w14:paraId="681935A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1.基金管理人职责终止的情形</w:t>
      </w:r>
    </w:p>
    <w:p w14:paraId="2A2CD02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有下列情形之一的，基金管理人职责终止：</w:t>
      </w:r>
    </w:p>
    <w:p w14:paraId="3EE16CD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被依法取消基金管理资格；</w:t>
      </w:r>
    </w:p>
    <w:p w14:paraId="691A2DF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被基金份额持有人大会解任；</w:t>
      </w:r>
    </w:p>
    <w:p w14:paraId="2C62CBE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lastRenderedPageBreak/>
        <w:t>(3)</w:t>
      </w:r>
      <w:r>
        <w:rPr>
          <w:rFonts w:ascii="彩虹粗仿宋" w:eastAsia="彩虹粗仿宋" w:hAnsi="宋体" w:cs="Arial" w:hint="eastAsia"/>
          <w:color w:val="000000" w:themeColor="text1"/>
          <w:kern w:val="0"/>
          <w:sz w:val="24"/>
          <w:szCs w:val="24"/>
        </w:rPr>
        <w:t>依法解散、被依法撤销或被依法宣告破产；</w:t>
      </w:r>
    </w:p>
    <w:p w14:paraId="4BA000F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法律法规及中国证监会规定的和《基金合同》约定的其他情形。</w:t>
      </w:r>
    </w:p>
    <w:p w14:paraId="5451A94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2.基金管理人的更换程序</w:t>
      </w:r>
    </w:p>
    <w:p w14:paraId="5BD795F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更换基金管理人必须依照如下程序进行：</w:t>
      </w:r>
    </w:p>
    <w:p w14:paraId="08B5B5C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提名：新任基金管理人由基金托管人或由单独或合计持有基金总份额10%以上（含10%）基金份额的基金份额持有人提名；</w:t>
      </w:r>
    </w:p>
    <w:p w14:paraId="3E0C2A4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73BDC81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临时基金管理人：新任基金管理人产生之前，由中国证监会指定临时基金管理人；</w:t>
      </w:r>
    </w:p>
    <w:p w14:paraId="52B296B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备案：基金份额持有人大会更换基金管理人的决议须报中国证监会备案；</w:t>
      </w:r>
    </w:p>
    <w:p w14:paraId="284CBB5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公告：基金管理人更换后，由基金托管人在更换基金管理人的基金份额持有人大会决议生效后2日内在规定媒介公告；</w:t>
      </w:r>
    </w:p>
    <w:p w14:paraId="22BB5EF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0937986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审计：基金管理人职责终止的，应当按照法律法规规定聘请符合《中华人民共和国证券法》规定的会计师事务所对基金财产进行审计，并将审计结果予以公告，同时报中国证监会备案，审计费用在基金财产中列支；</w:t>
      </w:r>
    </w:p>
    <w:p w14:paraId="26CFBCB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(8)</w:t>
      </w:r>
      <w:r>
        <w:rPr>
          <w:rFonts w:ascii="彩虹粗仿宋" w:eastAsia="彩虹粗仿宋" w:hAnsi="宋体" w:cs="Arial" w:hint="eastAsia"/>
          <w:color w:val="000000" w:themeColor="text1"/>
          <w:kern w:val="0"/>
          <w:sz w:val="24"/>
          <w:szCs w:val="24"/>
        </w:rPr>
        <w:t>基金名称变更：基金管理人更换后，如果原任或新任基金管理人要求，应按其要求替换或删除基金名称中与原基金管理人有关的名称字样。</w:t>
      </w:r>
    </w:p>
    <w:p w14:paraId="0A87894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（二）基金托管人职责终止的情形</w:t>
      </w:r>
    </w:p>
    <w:p w14:paraId="0CA9551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1.基金托管人职责终止的情形</w:t>
      </w:r>
    </w:p>
    <w:p w14:paraId="5732EC7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有下列情形之一的，基金托管人职责终止：</w:t>
      </w:r>
    </w:p>
    <w:p w14:paraId="1E4FF15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被依法取消基金托管资格；</w:t>
      </w:r>
    </w:p>
    <w:p w14:paraId="7BEB29B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被基金份额持有人大会解任；</w:t>
      </w:r>
    </w:p>
    <w:p w14:paraId="07AD374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依法解散、被依法撤销或被依法宣告破产；</w:t>
      </w:r>
    </w:p>
    <w:p w14:paraId="09BE1F9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法律法规及中国证监会规定的和《基金合同》约定的其他情形。</w:t>
      </w:r>
    </w:p>
    <w:p w14:paraId="5DCDC06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2.基金托管人的更换程序</w:t>
      </w:r>
    </w:p>
    <w:p w14:paraId="1F6068B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提名：新任基金托管人由基金管理人或由单独或合计持有基金总份额10%以上（含10%）基金份额的基金份额持有人提名；</w:t>
      </w:r>
    </w:p>
    <w:p w14:paraId="509DC91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决议：基金份额持有人大会在基金托管人职责终止后6个月内对被提名的</w:t>
      </w:r>
      <w:r>
        <w:rPr>
          <w:rFonts w:ascii="彩虹粗仿宋" w:eastAsia="彩虹粗仿宋" w:hAnsi="宋体" w:cs="Arial" w:hint="eastAsia"/>
          <w:color w:val="000000" w:themeColor="text1"/>
          <w:kern w:val="0"/>
          <w:sz w:val="24"/>
          <w:szCs w:val="24"/>
        </w:rPr>
        <w:lastRenderedPageBreak/>
        <w:t>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503828F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临时基金托管人：新任基金托管人产生之前，由中国证监会指定临时基金托管人；</w:t>
      </w:r>
    </w:p>
    <w:p w14:paraId="1588224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备案：基金份额持有人大会更换基金托管人的决议须报中国证监会备案；</w:t>
      </w:r>
    </w:p>
    <w:p w14:paraId="229817D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公告：基金托管人更换后，由基金管理人在更换基金托管人的基金份额持有人大会决议生效后2日内在规定媒介公告；</w:t>
      </w:r>
    </w:p>
    <w:p w14:paraId="3FD7A4B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28788AE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审计：基金托管人职责终止的，应当按照法律法规规定聘请符合《中华人民共和国证券法》规定的会计师事务所对基金财产进行审计，并将审计结果予以公告，同时报中国证监会备案，审计费用在基金财产中列支。</w:t>
      </w:r>
    </w:p>
    <w:p w14:paraId="337634B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（三）基金管理人与基金托管人同时更换的条件和程序</w:t>
      </w:r>
    </w:p>
    <w:p w14:paraId="75E78DE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1．提名：如果基金管理人和基金托管人同时更换，由单独或合计持有基金总份额10%以上（含10%）的基金份额持有人提名新的基金管理人和基金托管人；</w:t>
      </w:r>
    </w:p>
    <w:p w14:paraId="4F3C2E4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2．基金管理人和基金托管人的更换分别按上述程序进行；</w:t>
      </w:r>
    </w:p>
    <w:p w14:paraId="2EF6AFB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3．公告：新任基金管理人和新任基金托管人应在更换基金管理人和基金托管人的基金份额持有人大会决议生效后2日内在规定媒介上联合公告。</w:t>
      </w:r>
    </w:p>
    <w:p w14:paraId="119990D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48BFAB2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C16401F"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7CA6EB9B" w14:textId="77777777" w:rsidR="00A82A5F" w:rsidRDefault="003122C7">
      <w:pPr>
        <w:pStyle w:val="2"/>
        <w:jc w:val="center"/>
        <w:rPr>
          <w:rFonts w:ascii="彩虹粗仿宋" w:eastAsia="彩虹粗仿宋"/>
          <w:color w:val="000000" w:themeColor="text1"/>
        </w:rPr>
      </w:pPr>
      <w:bookmarkStart w:id="123" w:name="_Toc124325899"/>
      <w:r>
        <w:rPr>
          <w:rFonts w:ascii="彩虹粗仿宋" w:eastAsia="彩虹粗仿宋" w:hint="eastAsia"/>
          <w:color w:val="000000" w:themeColor="text1"/>
        </w:rPr>
        <w:t>十五、禁止行为</w:t>
      </w:r>
      <w:bookmarkEnd w:id="123"/>
    </w:p>
    <w:p w14:paraId="2AA98D6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本协议当事人禁止从事的行为，包括但不限于：</w:t>
      </w:r>
    </w:p>
    <w:p w14:paraId="45A15D4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（一）基金管理人、基金托管人将其固有财产或者他人财产混同于基金财产从事证券投资。</w:t>
      </w:r>
    </w:p>
    <w:p w14:paraId="5A84A95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（二）基金管理人不公平地对待其管理的不同基金财产，基金托管人不公平地对待其托管的不同基金财产。</w:t>
      </w:r>
    </w:p>
    <w:p w14:paraId="2E603C3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（三）基金管理人、基金托管人利用基金财产或职务之便为基金份额持有人以外的第三人牟取利益。</w:t>
      </w:r>
    </w:p>
    <w:p w14:paraId="3CF25E1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（四）基金管理人、基金托管人向基金份额持有人违规承诺收益或者承担损失。</w:t>
      </w:r>
    </w:p>
    <w:p w14:paraId="390FC7C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（五）基金管理人、基金托管人对他人泄露基金运作和管理过程中任何尚未按法律法规规定的方式公开披露的信息。</w:t>
      </w:r>
    </w:p>
    <w:p w14:paraId="2D711FE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（六）基金管理人在没有充足资金的情况下向基金托管人发出投资指令和赎回、分红资金的划拨指令，或违规向基金托管人发出指令。</w:t>
      </w:r>
    </w:p>
    <w:p w14:paraId="67E284C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（七）基金管理人、基金托管人在行政上、财务上不独立, 其高级管理人员和其他从业人员相互兼职。</w:t>
      </w:r>
    </w:p>
    <w:p w14:paraId="780C197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（八）基金托管人私自动用或处分基金财产，根据基金管理人的合法指令、《基金合同》或托管协议的规定进行处分的除外。</w:t>
      </w:r>
    </w:p>
    <w:p w14:paraId="6C21ADD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（九）基金管理人、基金托管人侵占、挪用基金财产。</w:t>
      </w:r>
    </w:p>
    <w:p w14:paraId="63162B5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（十）基金管理人、基金托管人泄露因职务便利获取的未公开信息、利用该信息从事或者明示、暗示他人从事相关的交易活动。</w:t>
      </w:r>
    </w:p>
    <w:p w14:paraId="648A026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（十一）基金管理人、基金托管人玩忽职守，不按照规定履行职责。</w:t>
      </w:r>
    </w:p>
    <w:p w14:paraId="17D7DFD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（十二）基金财产用于下列投资或者活动：</w:t>
      </w:r>
    </w:p>
    <w:p w14:paraId="605F01B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1.承销证券；</w:t>
      </w:r>
    </w:p>
    <w:p w14:paraId="1AC63FB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2.违反规定向他人贷款或者提供担保；</w:t>
      </w:r>
    </w:p>
    <w:p w14:paraId="2FF3BA8A"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3.从事承担无限责任的投资；</w:t>
      </w:r>
    </w:p>
    <w:p w14:paraId="0B2DEB6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.向其基金管理人、基金托管人出资；</w:t>
      </w:r>
    </w:p>
    <w:p w14:paraId="1D8D9C1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.从事内幕交易、操纵证券交易价格及其他不正当的证券交易活动；</w:t>
      </w:r>
    </w:p>
    <w:p w14:paraId="2B23151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.法律、行政法规和中国证监会规定禁止的其他活动。</w:t>
      </w:r>
    </w:p>
    <w:p w14:paraId="033A926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24" w:name="OLE_LINK181"/>
      <w:bookmarkStart w:id="125" w:name="OLE_LINK180"/>
      <w:r>
        <w:rPr>
          <w:rFonts w:ascii="彩虹粗仿宋" w:eastAsia="彩虹粗仿宋" w:hAnsi="宋体" w:cs="Arial" w:hint="eastAsia"/>
          <w:color w:val="000000" w:themeColor="text1"/>
          <w:kern w:val="0"/>
          <w:sz w:val="24"/>
          <w:szCs w:val="24"/>
        </w:rPr>
        <w:t>法律、行政法规或监管部门取消或变更上述限制，如适用于本基金，基金管理人在履行适当程序后，则本基金投资不再受相关限制或以变更后的规定为准。</w:t>
      </w:r>
    </w:p>
    <w:bookmarkEnd w:id="124"/>
    <w:bookmarkEnd w:id="125"/>
    <w:p w14:paraId="7910141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（十三）法律法规和《基金合同》禁止的其他行为，以及依照法律、行政法规有关规定，由中国证监会规定禁止基金管理人、基金托管人从事的其他行为。</w:t>
      </w:r>
    </w:p>
    <w:p w14:paraId="78E0CFC3"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638F6F56" w14:textId="77777777" w:rsidR="00A82A5F" w:rsidRDefault="003122C7">
      <w:pPr>
        <w:pStyle w:val="2"/>
        <w:jc w:val="center"/>
        <w:rPr>
          <w:rFonts w:ascii="彩虹粗仿宋" w:eastAsia="彩虹粗仿宋"/>
          <w:color w:val="000000" w:themeColor="text1"/>
        </w:rPr>
      </w:pPr>
      <w:bookmarkStart w:id="126" w:name="_Toc124325900"/>
      <w:r>
        <w:rPr>
          <w:rFonts w:ascii="彩虹粗仿宋" w:eastAsia="彩虹粗仿宋" w:hint="eastAsia"/>
          <w:color w:val="000000" w:themeColor="text1"/>
        </w:rPr>
        <w:lastRenderedPageBreak/>
        <w:t>十六、托管协议的变更、终止与基金财产的清算</w:t>
      </w:r>
      <w:bookmarkEnd w:id="126"/>
    </w:p>
    <w:p w14:paraId="10AF2E0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（一）托管协议的变更程序</w:t>
      </w:r>
    </w:p>
    <w:p w14:paraId="2B86939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本协议双方当事人经协商一致，可以对协议进行修改。修改后的新协议，其内容不得与《基金合同》的规定有任何冲突。基金托管协议的变更须根据法律法规或监管机构要求报中国证监会备案。</w:t>
      </w:r>
    </w:p>
    <w:p w14:paraId="64D822A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（二）托管协议终止的情形</w:t>
      </w:r>
    </w:p>
    <w:p w14:paraId="52B5451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1.《基金合同》终止；</w:t>
      </w:r>
    </w:p>
    <w:p w14:paraId="0F29667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2.基金托管人解散、依法被撤销、破产或由其他基金托管人接管基金资产；</w:t>
      </w:r>
    </w:p>
    <w:p w14:paraId="424BCF0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3.基金管理人解散、依法被撤销、破产或由其他基金管理人接管基金管理权；</w:t>
      </w:r>
    </w:p>
    <w:p w14:paraId="7151E81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4.发生法律法规、中国证监会或《基金合同》规定的终止事项。</w:t>
      </w:r>
    </w:p>
    <w:p w14:paraId="6E412B5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（三）基金财产的清算</w:t>
      </w:r>
    </w:p>
    <w:p w14:paraId="4C2E008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1.基金财产清算小组：自出现《基金合同》终止事由之日起30个工作日内成立基金财产清算小组，基金管理人组织基金财产清算小组并在中国证监会的监督下进行基金清算。</w:t>
      </w:r>
    </w:p>
    <w:p w14:paraId="1BD7A53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AE93AB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3.基金财产清算小组职责：基金财产清算小组负责基金财产的保管、清理、估价、变现和分配。基金财产清算小组可以依法进行必要的民事活动。</w:t>
      </w:r>
    </w:p>
    <w:p w14:paraId="207D75B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4.基金财产清算程序：</w:t>
      </w:r>
    </w:p>
    <w:p w14:paraId="081A9A8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（1）《基金合同》终止情形出现时，由基金财产清算小组统一接管基金；</w:t>
      </w:r>
    </w:p>
    <w:p w14:paraId="7FA799E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（2）对基金财产和债权债务进行清理和确认；</w:t>
      </w:r>
    </w:p>
    <w:p w14:paraId="5BC7A009"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（3）对基金财产进行估值和变现；</w:t>
      </w:r>
    </w:p>
    <w:p w14:paraId="14535BC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（4）制作清算报告；</w:t>
      </w:r>
    </w:p>
    <w:p w14:paraId="5CF59BD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（5）聘请会计师事务所对清算报告进行外部审计，聘请律师事务所对清算报告出具法律意见书；</w:t>
      </w:r>
    </w:p>
    <w:p w14:paraId="5568752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（6）将基金财产清算报告报中国证监会备案并公告；</w:t>
      </w:r>
    </w:p>
    <w:p w14:paraId="236412A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（7）对基金剩余财产进行分配。</w:t>
      </w:r>
    </w:p>
    <w:p w14:paraId="0346A1A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5.基金财产清算的期限为6个月，但因本基金所持证券的流动性受到限制而不能及时变现的，清算期限相应顺延。</w:t>
      </w:r>
    </w:p>
    <w:p w14:paraId="47B5209F"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6.清算费用</w:t>
      </w:r>
    </w:p>
    <w:p w14:paraId="0AB1452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清算费用是指基金财产清算小组在进行基金财产清算过程中发生的所有合理费用，清算费用由基金财产清算小组优先从基金剩余财产中支付。</w:t>
      </w:r>
    </w:p>
    <w:p w14:paraId="4DB6243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7.基金财产清算剩余资产的分配</w:t>
      </w:r>
    </w:p>
    <w:p w14:paraId="5F98E770"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依据基金财产清算的分配方案，将基金财产清算后的全部剩余资产扣除基金财产清算费用、交纳所欠税款并清偿基金债务后，按基金份额持有人持有的各类基金份额比例进行分配。</w:t>
      </w:r>
    </w:p>
    <w:p w14:paraId="48BC383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其中，对于投资者通过直销机构及其销售子公司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07F3A522"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8.基金财产清算的公告</w:t>
      </w:r>
    </w:p>
    <w:p w14:paraId="2912BCF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EE8A26E"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9.基金财产清算账册及文件的保存</w:t>
      </w:r>
    </w:p>
    <w:p w14:paraId="4DAC271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基金财产清算账册及有关文件由基金托管人保存，</w:t>
      </w:r>
      <w:r>
        <w:rPr>
          <w:rFonts w:ascii="彩虹粗仿宋" w:eastAsia="彩虹粗仿宋" w:hAnsi="宋体" w:cs="Arial" w:hint="eastAsia"/>
          <w:sz w:val="24"/>
        </w:rPr>
        <w:t>保存</w:t>
      </w:r>
      <w:r>
        <w:rPr>
          <w:rFonts w:ascii="彩虹粗仿宋" w:eastAsia="彩虹粗仿宋" w:hAnsi="宋体" w:cs="Arial" w:hint="eastAsia"/>
          <w:bCs/>
          <w:sz w:val="24"/>
        </w:rPr>
        <w:t>期限</w:t>
      </w:r>
      <w:r>
        <w:rPr>
          <w:rFonts w:ascii="彩虹粗仿宋" w:eastAsia="彩虹粗仿宋" w:hAnsi="宋体" w:cs="Arial" w:hint="eastAsia"/>
          <w:sz w:val="24"/>
        </w:rPr>
        <w:t>按照法律法规的规定执行。</w:t>
      </w:r>
    </w:p>
    <w:p w14:paraId="60652C25"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245B7284" w14:textId="77777777" w:rsidR="00A82A5F" w:rsidRDefault="003122C7">
      <w:pPr>
        <w:pStyle w:val="2"/>
        <w:jc w:val="center"/>
        <w:rPr>
          <w:rFonts w:ascii="彩虹粗仿宋" w:eastAsia="彩虹粗仿宋"/>
          <w:color w:val="000000" w:themeColor="text1"/>
        </w:rPr>
      </w:pPr>
      <w:bookmarkStart w:id="127" w:name="_Toc124325901"/>
      <w:r>
        <w:rPr>
          <w:rFonts w:ascii="彩虹粗仿宋" w:eastAsia="彩虹粗仿宋" w:hint="eastAsia"/>
          <w:color w:val="000000" w:themeColor="text1"/>
        </w:rPr>
        <w:t>十七、违约责任</w:t>
      </w:r>
      <w:bookmarkEnd w:id="127"/>
    </w:p>
    <w:p w14:paraId="6344FB1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（一）基金管理人、基金托管人不履行本协议或履行本协议不符合约定的，应当承担违约责任。</w:t>
      </w:r>
    </w:p>
    <w:p w14:paraId="6861394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eastAsia="彩虹粗仿宋" w:hAnsi="宋体" w:cs="Arial"/>
          <w:bCs/>
          <w:color w:val="000000" w:themeColor="text1"/>
          <w:kern w:val="0"/>
          <w:sz w:val="24"/>
          <w:szCs w:val="24"/>
        </w:rPr>
        <w:t>，对损失的赔偿，仅限于直接损失</w:t>
      </w:r>
      <w:r>
        <w:rPr>
          <w:rFonts w:ascii="彩虹粗仿宋" w:eastAsia="彩虹粗仿宋" w:hAnsi="宋体" w:cs="Arial" w:hint="eastAsia"/>
          <w:color w:val="000000" w:themeColor="text1"/>
          <w:kern w:val="0"/>
          <w:sz w:val="24"/>
          <w:szCs w:val="24"/>
        </w:rPr>
        <w:t>。</w:t>
      </w:r>
    </w:p>
    <w:p w14:paraId="74DE70A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F9813A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1.不可抗力；</w:t>
      </w:r>
    </w:p>
    <w:p w14:paraId="1836C796"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2.基金管理人和/或基金托管人按照届时有效的法律法规</w:t>
      </w:r>
      <w:r>
        <w:rPr>
          <w:rFonts w:ascii="彩虹粗仿宋" w:eastAsia="彩虹粗仿宋" w:hAnsi="宋体" w:cs="Arial"/>
          <w:color w:val="000000" w:themeColor="text1"/>
          <w:kern w:val="0"/>
          <w:sz w:val="24"/>
          <w:szCs w:val="24"/>
        </w:rPr>
        <w:t>或</w:t>
      </w:r>
      <w:r>
        <w:rPr>
          <w:rFonts w:ascii="彩虹粗仿宋" w:eastAsia="彩虹粗仿宋" w:hAnsi="宋体" w:cs="Arial" w:hint="eastAsia"/>
          <w:color w:val="000000" w:themeColor="text1"/>
          <w:kern w:val="0"/>
          <w:sz w:val="24"/>
          <w:szCs w:val="24"/>
        </w:rPr>
        <w:t>中国证监会的规定作为或不作为而造成的损失等；</w:t>
      </w:r>
    </w:p>
    <w:p w14:paraId="12D0268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3.在没有过错的情况下，基金管理人由于按照基金合同规定的投资原则</w:t>
      </w:r>
      <w:r>
        <w:rPr>
          <w:rFonts w:ascii="彩虹粗仿宋" w:eastAsia="彩虹粗仿宋" w:hAnsi="宋体" w:cs="Arial" w:hint="eastAsia"/>
          <w:bCs/>
          <w:color w:val="000000" w:themeColor="text1"/>
          <w:kern w:val="0"/>
          <w:sz w:val="24"/>
          <w:szCs w:val="24"/>
        </w:rPr>
        <w:t>行使或</w:t>
      </w:r>
      <w:r>
        <w:rPr>
          <w:rFonts w:ascii="彩虹粗仿宋" w:eastAsia="彩虹粗仿宋" w:hAnsi="宋体" w:cs="Arial" w:hint="eastAsia"/>
          <w:bCs/>
          <w:color w:val="000000" w:themeColor="text1"/>
          <w:kern w:val="0"/>
          <w:sz w:val="24"/>
          <w:szCs w:val="24"/>
        </w:rPr>
        <w:lastRenderedPageBreak/>
        <w:t>不行使其投资权</w:t>
      </w:r>
      <w:r>
        <w:rPr>
          <w:rFonts w:ascii="彩虹粗仿宋" w:eastAsia="彩虹粗仿宋" w:hAnsi="宋体" w:cs="Arial" w:hint="eastAsia"/>
          <w:color w:val="000000" w:themeColor="text1"/>
          <w:kern w:val="0"/>
          <w:sz w:val="24"/>
          <w:szCs w:val="24"/>
        </w:rPr>
        <w:t>而造成的损失等。</w:t>
      </w:r>
    </w:p>
    <w:p w14:paraId="5662787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AB5016B"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（五）违约行为虽已发生，但本托管协议能够继续履行的，在最大限度地保护基金份额持有人利益的前提下，基金管理人和基金托管人应当继续履行本协议。</w:t>
      </w:r>
    </w:p>
    <w:p w14:paraId="2D042D9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（六）由于基金管理人、基金托管人不可控制的因素导致业务出现差错，基金管理人和基金托管人虽然已经采取必要、适当、合理的措施进行检查，但是未能发现错误</w:t>
      </w:r>
      <w:r>
        <w:rPr>
          <w:rFonts w:ascii="彩虹粗仿宋" w:eastAsia="彩虹粗仿宋" w:hAnsi="宋体" w:cs="Arial" w:hint="eastAsia"/>
          <w:bCs/>
          <w:color w:val="000000" w:themeColor="text1"/>
          <w:kern w:val="0"/>
          <w:sz w:val="24"/>
          <w:szCs w:val="24"/>
        </w:rPr>
        <w:t>或因前述原因未能避免或更正错误</w:t>
      </w:r>
      <w:r>
        <w:rPr>
          <w:rFonts w:ascii="彩虹粗仿宋" w:eastAsia="彩虹粗仿宋" w:hAnsi="宋体" w:cs="Arial" w:hint="eastAsia"/>
          <w:color w:val="000000" w:themeColor="text1"/>
          <w:kern w:val="0"/>
          <w:sz w:val="24"/>
          <w:szCs w:val="24"/>
        </w:rPr>
        <w:t>的，由此造成基金财产或投资人损失，基金管理人和基金托管人免除赔偿责任。但是基金管理人和基金托管人应积极采取必要的措施减轻或消除由此造成的影响。</w:t>
      </w:r>
    </w:p>
    <w:p w14:paraId="14555A17"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296DD73C" w14:textId="77777777" w:rsidR="00A82A5F" w:rsidRDefault="003122C7">
      <w:pPr>
        <w:pStyle w:val="2"/>
        <w:jc w:val="center"/>
        <w:rPr>
          <w:rFonts w:ascii="彩虹粗仿宋" w:eastAsia="彩虹粗仿宋"/>
          <w:color w:val="000000" w:themeColor="text1"/>
        </w:rPr>
      </w:pPr>
      <w:bookmarkStart w:id="128" w:name="_Toc124325902"/>
      <w:r>
        <w:rPr>
          <w:rFonts w:ascii="彩虹粗仿宋" w:eastAsia="彩虹粗仿宋" w:hint="eastAsia"/>
          <w:color w:val="000000" w:themeColor="text1"/>
        </w:rPr>
        <w:t>十八、争议解决方式</w:t>
      </w:r>
      <w:bookmarkEnd w:id="128"/>
    </w:p>
    <w:p w14:paraId="75E6D915"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因本协议产生或与之相关的争议，双方当事人应尽量通过协商、调解途径解决，如经友好协商、调解未能解决的，任何一方均有权将争议提交中国国际经济贸易仲裁委员会，按照其届时有效的仲裁规则进行仲裁，仲裁地点为北京市。仲裁裁决是终局性的并对双方当事人具有约束力。除非仲裁裁决另有决定，仲裁费用由败诉方承担。</w:t>
      </w:r>
    </w:p>
    <w:p w14:paraId="3422F4F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争议处理期间，双方当事人应恪守基金管理人和基金托管人职责，各自继续忠实、勤勉、尽责地履行《基金合同》和本托管协议规定的义务，维护基金份额持有人的合法权益。</w:t>
      </w:r>
    </w:p>
    <w:p w14:paraId="3C1D5937"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bookmarkStart w:id="129" w:name="OLE_LINK190"/>
      <w:bookmarkStart w:id="130" w:name="OLE_LINK191"/>
      <w:r>
        <w:rPr>
          <w:rFonts w:ascii="彩虹粗仿宋" w:eastAsia="彩虹粗仿宋" w:hAnsi="宋体" w:cs="Arial" w:hint="eastAsia"/>
          <w:color w:val="000000" w:themeColor="text1"/>
          <w:kern w:val="0"/>
          <w:sz w:val="24"/>
          <w:szCs w:val="24"/>
        </w:rPr>
        <w:t>本协议受中国法律（为托管协议之目的，在此不包括香港、澳门特别行政区</w:t>
      </w:r>
      <w:r>
        <w:rPr>
          <w:rFonts w:ascii="彩虹粗仿宋" w:eastAsia="彩虹粗仿宋" w:hAnsi="宋体" w:cs="Arial" w:hint="eastAsia"/>
          <w:bCs/>
          <w:color w:val="000000" w:themeColor="text1"/>
          <w:kern w:val="0"/>
          <w:sz w:val="24"/>
          <w:szCs w:val="24"/>
        </w:rPr>
        <w:t>法律</w:t>
      </w:r>
      <w:r>
        <w:rPr>
          <w:rFonts w:ascii="彩虹粗仿宋" w:eastAsia="彩虹粗仿宋" w:hAnsi="宋体" w:cs="Arial" w:hint="eastAsia"/>
          <w:color w:val="000000" w:themeColor="text1"/>
          <w:kern w:val="0"/>
          <w:sz w:val="24"/>
          <w:szCs w:val="24"/>
        </w:rPr>
        <w:t>和台湾地区的有关规定）管辖并从其解释。</w:t>
      </w:r>
    </w:p>
    <w:bookmarkEnd w:id="129"/>
    <w:bookmarkEnd w:id="130"/>
    <w:p w14:paraId="4CF45B83"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556783D6" w14:textId="77777777" w:rsidR="00A82A5F" w:rsidRDefault="003122C7">
      <w:pPr>
        <w:pStyle w:val="2"/>
        <w:jc w:val="center"/>
        <w:rPr>
          <w:rFonts w:ascii="彩虹粗仿宋" w:eastAsia="彩虹粗仿宋"/>
          <w:color w:val="000000" w:themeColor="text1"/>
        </w:rPr>
      </w:pPr>
      <w:bookmarkStart w:id="131" w:name="_Toc124325903"/>
      <w:r>
        <w:rPr>
          <w:rFonts w:ascii="彩虹粗仿宋" w:eastAsia="彩虹粗仿宋" w:hint="eastAsia"/>
          <w:color w:val="000000" w:themeColor="text1"/>
        </w:rPr>
        <w:t>十九、托管协议的效力</w:t>
      </w:r>
      <w:bookmarkEnd w:id="131"/>
    </w:p>
    <w:p w14:paraId="7F397B03"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双方对托管协议的效力约定如下：</w:t>
      </w:r>
    </w:p>
    <w:p w14:paraId="5B310CD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03C74DFC"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（二）托管协议自《基金合同》成立之日起成立，自《基金合同》生效之日</w:t>
      </w:r>
      <w:r>
        <w:rPr>
          <w:rFonts w:ascii="彩虹粗仿宋" w:eastAsia="彩虹粗仿宋" w:hAnsi="宋体" w:cs="Arial" w:hint="eastAsia"/>
          <w:color w:val="000000" w:themeColor="text1"/>
          <w:kern w:val="0"/>
          <w:sz w:val="24"/>
          <w:szCs w:val="24"/>
        </w:rPr>
        <w:lastRenderedPageBreak/>
        <w:t>起生效。托管协议的有效期自其生效之日起至基金财产清算结果报中国证监会备案并公告之日止。</w:t>
      </w:r>
    </w:p>
    <w:p w14:paraId="10076BE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（三）托管协议自生效之日起对托管协议当事人具有同等的法律约束力。</w:t>
      </w:r>
    </w:p>
    <w:p w14:paraId="07C34EF8"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（四）本协议一式三份，协议双方各持一份，上报监管机构一份，每份具有同等的法律效力。</w:t>
      </w:r>
    </w:p>
    <w:p w14:paraId="6AB92F99"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5D63E090" w14:textId="77777777" w:rsidR="00A82A5F" w:rsidRDefault="003122C7">
      <w:pPr>
        <w:pStyle w:val="2"/>
        <w:jc w:val="center"/>
        <w:rPr>
          <w:rFonts w:ascii="彩虹粗仿宋" w:eastAsia="彩虹粗仿宋"/>
          <w:color w:val="000000" w:themeColor="text1"/>
        </w:rPr>
      </w:pPr>
      <w:bookmarkStart w:id="132" w:name="_Toc124325904"/>
      <w:r>
        <w:rPr>
          <w:rFonts w:ascii="彩虹粗仿宋" w:eastAsia="彩虹粗仿宋" w:hint="eastAsia"/>
          <w:color w:val="000000" w:themeColor="text1"/>
        </w:rPr>
        <w:t>二十、其他事项</w:t>
      </w:r>
      <w:bookmarkEnd w:id="132"/>
    </w:p>
    <w:p w14:paraId="5BAAE84D"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如发生有权司法机关依法冻结基金份额持有人的基金份额时，基金管理人、基金托管人应予以配合，承担司法协助义务。</w:t>
      </w:r>
    </w:p>
    <w:p w14:paraId="469EB2B4"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除本协议有明确定义外，本协议的用语定义适用《基金合同》的约定。本协议未尽事宜，当事人依据《基金合同》、有关法律法规等规定协商办理。</w:t>
      </w:r>
    </w:p>
    <w:p w14:paraId="513A9056" w14:textId="77777777" w:rsidR="00A82A5F" w:rsidRDefault="00A82A5F">
      <w:pPr>
        <w:adjustRightInd w:val="0"/>
        <w:snapToGrid w:val="0"/>
        <w:ind w:firstLineChars="200" w:firstLine="480"/>
        <w:rPr>
          <w:rFonts w:ascii="彩虹粗仿宋" w:eastAsia="彩虹粗仿宋" w:hAnsi="宋体" w:cs="Arial"/>
          <w:color w:val="000000" w:themeColor="text1"/>
          <w:kern w:val="0"/>
          <w:sz w:val="24"/>
          <w:szCs w:val="24"/>
        </w:rPr>
      </w:pPr>
    </w:p>
    <w:p w14:paraId="4EC01120" w14:textId="77777777" w:rsidR="00A82A5F" w:rsidRDefault="003122C7">
      <w:pPr>
        <w:pStyle w:val="2"/>
        <w:jc w:val="center"/>
        <w:rPr>
          <w:rFonts w:ascii="彩虹粗仿宋" w:eastAsia="彩虹粗仿宋"/>
          <w:color w:val="000000" w:themeColor="text1"/>
        </w:rPr>
      </w:pPr>
      <w:bookmarkStart w:id="133" w:name="_Toc124325905"/>
      <w:r>
        <w:rPr>
          <w:rFonts w:ascii="彩虹粗仿宋" w:eastAsia="彩虹粗仿宋" w:hint="eastAsia"/>
          <w:color w:val="000000" w:themeColor="text1"/>
        </w:rPr>
        <w:t>二十一、托管协议的签订</w:t>
      </w:r>
      <w:bookmarkEnd w:id="133"/>
    </w:p>
    <w:p w14:paraId="395DE951" w14:textId="77777777" w:rsidR="00A82A5F" w:rsidRDefault="003122C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本协议双方法定代表人或授权代表签章、签订地、签订日</w:t>
      </w:r>
    </w:p>
    <w:bookmarkEnd w:id="0"/>
    <w:bookmarkEnd w:id="1"/>
    <w:p w14:paraId="2C57D308" w14:textId="701A1147" w:rsidR="00A82A5F" w:rsidRDefault="00A82A5F">
      <w:pPr>
        <w:spacing w:line="360" w:lineRule="auto"/>
        <w:ind w:right="26"/>
        <w:rPr>
          <w:rFonts w:ascii="彩虹粗仿宋" w:eastAsia="彩虹粗仿宋" w:hAnsi="Times New Roman" w:cs="Times New Roman"/>
          <w:color w:val="000000" w:themeColor="text1"/>
          <w:sz w:val="24"/>
          <w:szCs w:val="24"/>
        </w:rPr>
      </w:pPr>
    </w:p>
    <w:sectPr w:rsidR="00A82A5F" w:rsidSect="00B826BC">
      <w:footerReference w:type="default" r:id="rId8"/>
      <w:footerReference w:type="first" r:id="rId9"/>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91D41" w14:textId="77777777" w:rsidR="00BC04E3" w:rsidRDefault="00BC04E3">
      <w:r>
        <w:separator/>
      </w:r>
    </w:p>
  </w:endnote>
  <w:endnote w:type="continuationSeparator" w:id="0">
    <w:p w14:paraId="0CF3C538" w14:textId="77777777" w:rsidR="00BC04E3" w:rsidRDefault="00B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仿宋简体">
    <w:altName w:val="微软雅黑"/>
    <w:charset w:val="00"/>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彩虹粗仿宋">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CF55" w14:textId="3A4FBA0B" w:rsidR="00E90AF2" w:rsidRDefault="00E90AF2">
    <w:pPr>
      <w:pStyle w:val="ab"/>
      <w:jc w:val="center"/>
    </w:pPr>
  </w:p>
  <w:p w14:paraId="3B48AE98" w14:textId="77777777" w:rsidR="003122C7" w:rsidRDefault="003122C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277680"/>
      <w:docPartObj>
        <w:docPartGallery w:val="Page Numbers (Bottom of Page)"/>
        <w:docPartUnique/>
      </w:docPartObj>
    </w:sdtPr>
    <w:sdtEndPr/>
    <w:sdtContent>
      <w:p w14:paraId="04D6FFA7" w14:textId="5AC24E5F" w:rsidR="00E90AF2" w:rsidRDefault="00E90AF2">
        <w:pPr>
          <w:pStyle w:val="ab"/>
          <w:jc w:val="center"/>
        </w:pPr>
        <w:r>
          <w:fldChar w:fldCharType="begin"/>
        </w:r>
        <w:r>
          <w:instrText>PAGE   \* MERGEFORMAT</w:instrText>
        </w:r>
        <w:r>
          <w:fldChar w:fldCharType="separate"/>
        </w:r>
        <w:r w:rsidR="00812407" w:rsidRPr="00812407">
          <w:rPr>
            <w:noProof/>
            <w:lang w:val="zh-CN"/>
          </w:rPr>
          <w:t>19</w:t>
        </w:r>
        <w:r>
          <w:fldChar w:fldCharType="end"/>
        </w:r>
      </w:p>
    </w:sdtContent>
  </w:sdt>
  <w:p w14:paraId="471A50A1" w14:textId="77777777" w:rsidR="00E90AF2" w:rsidRDefault="00E90AF2">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828"/>
      <w:docPartObj>
        <w:docPartGallery w:val="Page Numbers (Bottom of Page)"/>
        <w:docPartUnique/>
      </w:docPartObj>
    </w:sdtPr>
    <w:sdtEndPr/>
    <w:sdtContent>
      <w:p w14:paraId="0E5EA6F5" w14:textId="3CAC0E25" w:rsidR="005926C0" w:rsidRDefault="005926C0">
        <w:pPr>
          <w:pStyle w:val="ab"/>
          <w:jc w:val="center"/>
        </w:pPr>
        <w:r>
          <w:fldChar w:fldCharType="begin"/>
        </w:r>
        <w:r>
          <w:instrText>PAGE   \* MERGEFORMAT</w:instrText>
        </w:r>
        <w:r>
          <w:fldChar w:fldCharType="separate"/>
        </w:r>
        <w:r w:rsidR="00B826BC" w:rsidRPr="00B826BC">
          <w:rPr>
            <w:noProof/>
            <w:lang w:val="zh-CN"/>
          </w:rPr>
          <w:t>1</w:t>
        </w:r>
        <w:r>
          <w:fldChar w:fldCharType="end"/>
        </w:r>
      </w:p>
    </w:sdtContent>
  </w:sdt>
  <w:p w14:paraId="50300A1A" w14:textId="77777777" w:rsidR="005926C0" w:rsidRDefault="005926C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2EC8" w14:textId="77777777" w:rsidR="00BC04E3" w:rsidRDefault="00BC04E3">
      <w:r>
        <w:separator/>
      </w:r>
    </w:p>
  </w:footnote>
  <w:footnote w:type="continuationSeparator" w:id="0">
    <w:p w14:paraId="0D11AC8C" w14:textId="77777777" w:rsidR="00BC04E3" w:rsidRDefault="00BC0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8A"/>
    <w:rsid w:val="00003F33"/>
    <w:rsid w:val="00007045"/>
    <w:rsid w:val="0001407B"/>
    <w:rsid w:val="0001514C"/>
    <w:rsid w:val="000164B5"/>
    <w:rsid w:val="00030B36"/>
    <w:rsid w:val="00032C98"/>
    <w:rsid w:val="000347CF"/>
    <w:rsid w:val="0004008F"/>
    <w:rsid w:val="00040D66"/>
    <w:rsid w:val="00042C5F"/>
    <w:rsid w:val="00047F8A"/>
    <w:rsid w:val="0005214B"/>
    <w:rsid w:val="00053786"/>
    <w:rsid w:val="00053EE9"/>
    <w:rsid w:val="0005470F"/>
    <w:rsid w:val="000560BF"/>
    <w:rsid w:val="00060A88"/>
    <w:rsid w:val="00061533"/>
    <w:rsid w:val="00064FC1"/>
    <w:rsid w:val="000663CE"/>
    <w:rsid w:val="0008060B"/>
    <w:rsid w:val="00081B1B"/>
    <w:rsid w:val="00085F3B"/>
    <w:rsid w:val="000A3A68"/>
    <w:rsid w:val="000A4063"/>
    <w:rsid w:val="000A5A0B"/>
    <w:rsid w:val="000A5D4A"/>
    <w:rsid w:val="000A7E0D"/>
    <w:rsid w:val="000B0CA2"/>
    <w:rsid w:val="000B2202"/>
    <w:rsid w:val="000B58EB"/>
    <w:rsid w:val="000C0E35"/>
    <w:rsid w:val="000D164C"/>
    <w:rsid w:val="000D55C1"/>
    <w:rsid w:val="000E189F"/>
    <w:rsid w:val="000E1F23"/>
    <w:rsid w:val="000F0B0C"/>
    <w:rsid w:val="000F24E6"/>
    <w:rsid w:val="000F382A"/>
    <w:rsid w:val="000F4867"/>
    <w:rsid w:val="000F4B35"/>
    <w:rsid w:val="00101031"/>
    <w:rsid w:val="001169CC"/>
    <w:rsid w:val="00120E7C"/>
    <w:rsid w:val="0012180D"/>
    <w:rsid w:val="001226E6"/>
    <w:rsid w:val="00126323"/>
    <w:rsid w:val="0012704E"/>
    <w:rsid w:val="001341B5"/>
    <w:rsid w:val="00150C80"/>
    <w:rsid w:val="001561AE"/>
    <w:rsid w:val="00157E25"/>
    <w:rsid w:val="001630CA"/>
    <w:rsid w:val="00164A5E"/>
    <w:rsid w:val="001653CE"/>
    <w:rsid w:val="00170BA2"/>
    <w:rsid w:val="00171EA6"/>
    <w:rsid w:val="001731A2"/>
    <w:rsid w:val="0017413D"/>
    <w:rsid w:val="00180C5A"/>
    <w:rsid w:val="00182481"/>
    <w:rsid w:val="001833B2"/>
    <w:rsid w:val="00187DFA"/>
    <w:rsid w:val="00192507"/>
    <w:rsid w:val="00193567"/>
    <w:rsid w:val="001963CC"/>
    <w:rsid w:val="001A084B"/>
    <w:rsid w:val="001A0A4E"/>
    <w:rsid w:val="001A2CBB"/>
    <w:rsid w:val="001A6A5D"/>
    <w:rsid w:val="001B2C0E"/>
    <w:rsid w:val="001C210A"/>
    <w:rsid w:val="001C435A"/>
    <w:rsid w:val="001C6569"/>
    <w:rsid w:val="001D12CA"/>
    <w:rsid w:val="001D2DB4"/>
    <w:rsid w:val="001E034A"/>
    <w:rsid w:val="001E3EF6"/>
    <w:rsid w:val="001F41EF"/>
    <w:rsid w:val="001F5221"/>
    <w:rsid w:val="001F61A3"/>
    <w:rsid w:val="001F7FC8"/>
    <w:rsid w:val="00204513"/>
    <w:rsid w:val="00211CD4"/>
    <w:rsid w:val="00212A82"/>
    <w:rsid w:val="00212D6A"/>
    <w:rsid w:val="00217890"/>
    <w:rsid w:val="00224CE3"/>
    <w:rsid w:val="00226E1F"/>
    <w:rsid w:val="00230180"/>
    <w:rsid w:val="0023135D"/>
    <w:rsid w:val="0023324A"/>
    <w:rsid w:val="002349A2"/>
    <w:rsid w:val="002367EB"/>
    <w:rsid w:val="00257F2C"/>
    <w:rsid w:val="00262386"/>
    <w:rsid w:val="00262B55"/>
    <w:rsid w:val="00262E76"/>
    <w:rsid w:val="0027680B"/>
    <w:rsid w:val="002803A3"/>
    <w:rsid w:val="002933DA"/>
    <w:rsid w:val="00294BA8"/>
    <w:rsid w:val="002964B0"/>
    <w:rsid w:val="002A1204"/>
    <w:rsid w:val="002B313E"/>
    <w:rsid w:val="002B3567"/>
    <w:rsid w:val="002C3EC6"/>
    <w:rsid w:val="002D4931"/>
    <w:rsid w:val="002D517B"/>
    <w:rsid w:val="002E0CD7"/>
    <w:rsid w:val="002E2ADC"/>
    <w:rsid w:val="002E45D2"/>
    <w:rsid w:val="002E7C5E"/>
    <w:rsid w:val="002F32A7"/>
    <w:rsid w:val="002F36E4"/>
    <w:rsid w:val="002F3E23"/>
    <w:rsid w:val="002F6826"/>
    <w:rsid w:val="002F73D1"/>
    <w:rsid w:val="00300A79"/>
    <w:rsid w:val="00302AF3"/>
    <w:rsid w:val="003122C7"/>
    <w:rsid w:val="003161E4"/>
    <w:rsid w:val="0032369E"/>
    <w:rsid w:val="00323960"/>
    <w:rsid w:val="00324801"/>
    <w:rsid w:val="0033400A"/>
    <w:rsid w:val="00336204"/>
    <w:rsid w:val="003454F0"/>
    <w:rsid w:val="003456B4"/>
    <w:rsid w:val="00347659"/>
    <w:rsid w:val="00361738"/>
    <w:rsid w:val="00365D60"/>
    <w:rsid w:val="00367420"/>
    <w:rsid w:val="00374048"/>
    <w:rsid w:val="00375783"/>
    <w:rsid w:val="00384576"/>
    <w:rsid w:val="00396E95"/>
    <w:rsid w:val="003A2225"/>
    <w:rsid w:val="003B0265"/>
    <w:rsid w:val="003B5C38"/>
    <w:rsid w:val="003C031C"/>
    <w:rsid w:val="003C05B5"/>
    <w:rsid w:val="003C250B"/>
    <w:rsid w:val="003C3AC8"/>
    <w:rsid w:val="003D0EED"/>
    <w:rsid w:val="003D4219"/>
    <w:rsid w:val="003E1BD4"/>
    <w:rsid w:val="003E44C9"/>
    <w:rsid w:val="003F3EDE"/>
    <w:rsid w:val="003F6060"/>
    <w:rsid w:val="00402A66"/>
    <w:rsid w:val="0040738B"/>
    <w:rsid w:val="00413176"/>
    <w:rsid w:val="0042367D"/>
    <w:rsid w:val="0042550A"/>
    <w:rsid w:val="00426FEE"/>
    <w:rsid w:val="00433417"/>
    <w:rsid w:val="00437765"/>
    <w:rsid w:val="004437DB"/>
    <w:rsid w:val="00446611"/>
    <w:rsid w:val="0045413A"/>
    <w:rsid w:val="0045714D"/>
    <w:rsid w:val="004605F5"/>
    <w:rsid w:val="00461A1F"/>
    <w:rsid w:val="0046319E"/>
    <w:rsid w:val="00475EB2"/>
    <w:rsid w:val="0047644E"/>
    <w:rsid w:val="004905D2"/>
    <w:rsid w:val="00492575"/>
    <w:rsid w:val="004A0542"/>
    <w:rsid w:val="004A1E39"/>
    <w:rsid w:val="004B1AEC"/>
    <w:rsid w:val="004B5952"/>
    <w:rsid w:val="004C74A6"/>
    <w:rsid w:val="004D1696"/>
    <w:rsid w:val="004D3D89"/>
    <w:rsid w:val="004F09A8"/>
    <w:rsid w:val="004F2098"/>
    <w:rsid w:val="004F38AF"/>
    <w:rsid w:val="004F4300"/>
    <w:rsid w:val="00504FD4"/>
    <w:rsid w:val="005070F4"/>
    <w:rsid w:val="00511200"/>
    <w:rsid w:val="00514356"/>
    <w:rsid w:val="005221EB"/>
    <w:rsid w:val="005302A5"/>
    <w:rsid w:val="0053049D"/>
    <w:rsid w:val="00533756"/>
    <w:rsid w:val="005439AA"/>
    <w:rsid w:val="005454C3"/>
    <w:rsid w:val="0054732F"/>
    <w:rsid w:val="0055411B"/>
    <w:rsid w:val="00560E75"/>
    <w:rsid w:val="00566BD1"/>
    <w:rsid w:val="005745F1"/>
    <w:rsid w:val="00575450"/>
    <w:rsid w:val="005761AF"/>
    <w:rsid w:val="00577FA5"/>
    <w:rsid w:val="005817F5"/>
    <w:rsid w:val="00582E5D"/>
    <w:rsid w:val="005838A3"/>
    <w:rsid w:val="00587826"/>
    <w:rsid w:val="00592533"/>
    <w:rsid w:val="005926C0"/>
    <w:rsid w:val="005A1001"/>
    <w:rsid w:val="005A1993"/>
    <w:rsid w:val="005A344C"/>
    <w:rsid w:val="005A3F98"/>
    <w:rsid w:val="005A4FF1"/>
    <w:rsid w:val="005A6575"/>
    <w:rsid w:val="005B11F2"/>
    <w:rsid w:val="005B6557"/>
    <w:rsid w:val="005B7592"/>
    <w:rsid w:val="005C4EB3"/>
    <w:rsid w:val="005C6226"/>
    <w:rsid w:val="005C6513"/>
    <w:rsid w:val="005D2AFA"/>
    <w:rsid w:val="005D312A"/>
    <w:rsid w:val="005D3F8F"/>
    <w:rsid w:val="005E0E5A"/>
    <w:rsid w:val="005E738A"/>
    <w:rsid w:val="005F351A"/>
    <w:rsid w:val="006011FB"/>
    <w:rsid w:val="006029D4"/>
    <w:rsid w:val="006029FB"/>
    <w:rsid w:val="0060448A"/>
    <w:rsid w:val="00616871"/>
    <w:rsid w:val="00617E1B"/>
    <w:rsid w:val="0062254B"/>
    <w:rsid w:val="00623569"/>
    <w:rsid w:val="00623E2C"/>
    <w:rsid w:val="00627AEF"/>
    <w:rsid w:val="00634300"/>
    <w:rsid w:val="0063604C"/>
    <w:rsid w:val="00643751"/>
    <w:rsid w:val="00646C8E"/>
    <w:rsid w:val="006503A1"/>
    <w:rsid w:val="00651790"/>
    <w:rsid w:val="00654855"/>
    <w:rsid w:val="0065772D"/>
    <w:rsid w:val="00660216"/>
    <w:rsid w:val="00662513"/>
    <w:rsid w:val="0066292F"/>
    <w:rsid w:val="00665D1F"/>
    <w:rsid w:val="00666143"/>
    <w:rsid w:val="00667044"/>
    <w:rsid w:val="00671189"/>
    <w:rsid w:val="00673976"/>
    <w:rsid w:val="006770B3"/>
    <w:rsid w:val="00677C28"/>
    <w:rsid w:val="00680E54"/>
    <w:rsid w:val="00696CC2"/>
    <w:rsid w:val="00697132"/>
    <w:rsid w:val="006A2665"/>
    <w:rsid w:val="006A619C"/>
    <w:rsid w:val="006B45F3"/>
    <w:rsid w:val="006C0488"/>
    <w:rsid w:val="006C1821"/>
    <w:rsid w:val="006C4867"/>
    <w:rsid w:val="006D1853"/>
    <w:rsid w:val="006D362A"/>
    <w:rsid w:val="006D417D"/>
    <w:rsid w:val="006D48D5"/>
    <w:rsid w:val="006E2D5F"/>
    <w:rsid w:val="006E65BA"/>
    <w:rsid w:val="006E71DA"/>
    <w:rsid w:val="006E7E0E"/>
    <w:rsid w:val="006F328F"/>
    <w:rsid w:val="006F47B9"/>
    <w:rsid w:val="006F67E2"/>
    <w:rsid w:val="006F7846"/>
    <w:rsid w:val="007006CC"/>
    <w:rsid w:val="00704074"/>
    <w:rsid w:val="00705782"/>
    <w:rsid w:val="007115C7"/>
    <w:rsid w:val="0071170D"/>
    <w:rsid w:val="00714D25"/>
    <w:rsid w:val="007155FF"/>
    <w:rsid w:val="00720BF0"/>
    <w:rsid w:val="007318DB"/>
    <w:rsid w:val="00735B3E"/>
    <w:rsid w:val="00736AC2"/>
    <w:rsid w:val="007377A6"/>
    <w:rsid w:val="00747F1F"/>
    <w:rsid w:val="00751F18"/>
    <w:rsid w:val="00753B8B"/>
    <w:rsid w:val="00757E19"/>
    <w:rsid w:val="00761BFF"/>
    <w:rsid w:val="0076638C"/>
    <w:rsid w:val="007702FF"/>
    <w:rsid w:val="00772AB6"/>
    <w:rsid w:val="00780B8C"/>
    <w:rsid w:val="007846CE"/>
    <w:rsid w:val="00786093"/>
    <w:rsid w:val="00790536"/>
    <w:rsid w:val="0079381B"/>
    <w:rsid w:val="00793D57"/>
    <w:rsid w:val="007940A6"/>
    <w:rsid w:val="00794D9B"/>
    <w:rsid w:val="007970F7"/>
    <w:rsid w:val="007A19F1"/>
    <w:rsid w:val="007A6E7B"/>
    <w:rsid w:val="007B1CE9"/>
    <w:rsid w:val="007B6934"/>
    <w:rsid w:val="007C12EE"/>
    <w:rsid w:val="007C231E"/>
    <w:rsid w:val="007C2A10"/>
    <w:rsid w:val="007C7EEE"/>
    <w:rsid w:val="007D0E04"/>
    <w:rsid w:val="007D4393"/>
    <w:rsid w:val="007D6F83"/>
    <w:rsid w:val="007D7788"/>
    <w:rsid w:val="007E0C3C"/>
    <w:rsid w:val="007E29A6"/>
    <w:rsid w:val="007E4C65"/>
    <w:rsid w:val="007E58B2"/>
    <w:rsid w:val="007E58FA"/>
    <w:rsid w:val="007F0F05"/>
    <w:rsid w:val="007F1737"/>
    <w:rsid w:val="007F6E93"/>
    <w:rsid w:val="00806D5B"/>
    <w:rsid w:val="00810CD1"/>
    <w:rsid w:val="00812407"/>
    <w:rsid w:val="00812AC7"/>
    <w:rsid w:val="00820995"/>
    <w:rsid w:val="00830DE0"/>
    <w:rsid w:val="00833288"/>
    <w:rsid w:val="00833ADA"/>
    <w:rsid w:val="0084006E"/>
    <w:rsid w:val="00844711"/>
    <w:rsid w:val="008476C7"/>
    <w:rsid w:val="00851F1B"/>
    <w:rsid w:val="008520AE"/>
    <w:rsid w:val="008559E0"/>
    <w:rsid w:val="008560F9"/>
    <w:rsid w:val="00857B09"/>
    <w:rsid w:val="00864771"/>
    <w:rsid w:val="008855DC"/>
    <w:rsid w:val="00890262"/>
    <w:rsid w:val="008959DF"/>
    <w:rsid w:val="008A0543"/>
    <w:rsid w:val="008A7211"/>
    <w:rsid w:val="008C3C50"/>
    <w:rsid w:val="008D24A4"/>
    <w:rsid w:val="008E57CF"/>
    <w:rsid w:val="008F11D3"/>
    <w:rsid w:val="008F12BC"/>
    <w:rsid w:val="008F3BE2"/>
    <w:rsid w:val="008F3BE8"/>
    <w:rsid w:val="008F44FB"/>
    <w:rsid w:val="00902406"/>
    <w:rsid w:val="00905B0A"/>
    <w:rsid w:val="0090673D"/>
    <w:rsid w:val="00912D38"/>
    <w:rsid w:val="00920322"/>
    <w:rsid w:val="009209FC"/>
    <w:rsid w:val="00922A61"/>
    <w:rsid w:val="00932EFA"/>
    <w:rsid w:val="00934CF7"/>
    <w:rsid w:val="00935708"/>
    <w:rsid w:val="00941913"/>
    <w:rsid w:val="00946C48"/>
    <w:rsid w:val="00950E0A"/>
    <w:rsid w:val="00952321"/>
    <w:rsid w:val="00956102"/>
    <w:rsid w:val="00957BE4"/>
    <w:rsid w:val="009610FE"/>
    <w:rsid w:val="00970EF9"/>
    <w:rsid w:val="00974F49"/>
    <w:rsid w:val="0097500D"/>
    <w:rsid w:val="0098784D"/>
    <w:rsid w:val="00987DA9"/>
    <w:rsid w:val="009908C9"/>
    <w:rsid w:val="00991830"/>
    <w:rsid w:val="009943C3"/>
    <w:rsid w:val="009A0627"/>
    <w:rsid w:val="009A1E11"/>
    <w:rsid w:val="009A336A"/>
    <w:rsid w:val="009A6E3E"/>
    <w:rsid w:val="009B1E35"/>
    <w:rsid w:val="009B43B1"/>
    <w:rsid w:val="009B647C"/>
    <w:rsid w:val="009C67DB"/>
    <w:rsid w:val="009D1E4F"/>
    <w:rsid w:val="009D6F64"/>
    <w:rsid w:val="009D75DD"/>
    <w:rsid w:val="009E208F"/>
    <w:rsid w:val="009E788B"/>
    <w:rsid w:val="009F1EEE"/>
    <w:rsid w:val="009F3520"/>
    <w:rsid w:val="009F3747"/>
    <w:rsid w:val="009F7AD2"/>
    <w:rsid w:val="00A07A21"/>
    <w:rsid w:val="00A107C1"/>
    <w:rsid w:val="00A2504D"/>
    <w:rsid w:val="00A256B0"/>
    <w:rsid w:val="00A3329E"/>
    <w:rsid w:val="00A4117E"/>
    <w:rsid w:val="00A4628B"/>
    <w:rsid w:val="00A46728"/>
    <w:rsid w:val="00A511F8"/>
    <w:rsid w:val="00A63E24"/>
    <w:rsid w:val="00A70507"/>
    <w:rsid w:val="00A73666"/>
    <w:rsid w:val="00A75E59"/>
    <w:rsid w:val="00A7753B"/>
    <w:rsid w:val="00A8236E"/>
    <w:rsid w:val="00A82A5F"/>
    <w:rsid w:val="00A84C7A"/>
    <w:rsid w:val="00A9097F"/>
    <w:rsid w:val="00A90E6D"/>
    <w:rsid w:val="00A9218E"/>
    <w:rsid w:val="00A96B45"/>
    <w:rsid w:val="00AA2CEC"/>
    <w:rsid w:val="00AA3A3C"/>
    <w:rsid w:val="00AB3FAE"/>
    <w:rsid w:val="00AB7421"/>
    <w:rsid w:val="00AC0223"/>
    <w:rsid w:val="00AC2ED3"/>
    <w:rsid w:val="00AC30BC"/>
    <w:rsid w:val="00AC524A"/>
    <w:rsid w:val="00AC7383"/>
    <w:rsid w:val="00AC74BE"/>
    <w:rsid w:val="00AC795B"/>
    <w:rsid w:val="00AD0253"/>
    <w:rsid w:val="00AD02C7"/>
    <w:rsid w:val="00AD2880"/>
    <w:rsid w:val="00AD44BC"/>
    <w:rsid w:val="00AD4B34"/>
    <w:rsid w:val="00AD5715"/>
    <w:rsid w:val="00AD5C71"/>
    <w:rsid w:val="00AD7402"/>
    <w:rsid w:val="00AE2DA0"/>
    <w:rsid w:val="00AE32E2"/>
    <w:rsid w:val="00AF0F18"/>
    <w:rsid w:val="00AF1123"/>
    <w:rsid w:val="00AF148B"/>
    <w:rsid w:val="00AF7256"/>
    <w:rsid w:val="00AF7DE1"/>
    <w:rsid w:val="00B00A44"/>
    <w:rsid w:val="00B015A0"/>
    <w:rsid w:val="00B03718"/>
    <w:rsid w:val="00B03ED2"/>
    <w:rsid w:val="00B11014"/>
    <w:rsid w:val="00B124B4"/>
    <w:rsid w:val="00B13B2A"/>
    <w:rsid w:val="00B263CD"/>
    <w:rsid w:val="00B273B2"/>
    <w:rsid w:val="00B32102"/>
    <w:rsid w:val="00B33817"/>
    <w:rsid w:val="00B37E69"/>
    <w:rsid w:val="00B40A9E"/>
    <w:rsid w:val="00B41097"/>
    <w:rsid w:val="00B41C1E"/>
    <w:rsid w:val="00B56FED"/>
    <w:rsid w:val="00B608CA"/>
    <w:rsid w:val="00B63295"/>
    <w:rsid w:val="00B65B9D"/>
    <w:rsid w:val="00B6687A"/>
    <w:rsid w:val="00B67099"/>
    <w:rsid w:val="00B71B98"/>
    <w:rsid w:val="00B721FD"/>
    <w:rsid w:val="00B723F0"/>
    <w:rsid w:val="00B72BA0"/>
    <w:rsid w:val="00B753E5"/>
    <w:rsid w:val="00B80031"/>
    <w:rsid w:val="00B826BC"/>
    <w:rsid w:val="00B90808"/>
    <w:rsid w:val="00B910DE"/>
    <w:rsid w:val="00B94AFA"/>
    <w:rsid w:val="00B964FD"/>
    <w:rsid w:val="00B9778E"/>
    <w:rsid w:val="00BA1C7D"/>
    <w:rsid w:val="00BB34FB"/>
    <w:rsid w:val="00BB3AE8"/>
    <w:rsid w:val="00BC04E3"/>
    <w:rsid w:val="00BC25C8"/>
    <w:rsid w:val="00BC49F2"/>
    <w:rsid w:val="00BC535B"/>
    <w:rsid w:val="00BD18DC"/>
    <w:rsid w:val="00BD47E9"/>
    <w:rsid w:val="00BE2F81"/>
    <w:rsid w:val="00BF7638"/>
    <w:rsid w:val="00C02FD3"/>
    <w:rsid w:val="00C067A1"/>
    <w:rsid w:val="00C3041E"/>
    <w:rsid w:val="00C316E3"/>
    <w:rsid w:val="00C45EF4"/>
    <w:rsid w:val="00C51751"/>
    <w:rsid w:val="00C628FE"/>
    <w:rsid w:val="00C70CE5"/>
    <w:rsid w:val="00C730BB"/>
    <w:rsid w:val="00C814AC"/>
    <w:rsid w:val="00C84248"/>
    <w:rsid w:val="00C871DB"/>
    <w:rsid w:val="00C87F76"/>
    <w:rsid w:val="00C95302"/>
    <w:rsid w:val="00C97ABD"/>
    <w:rsid w:val="00CA2115"/>
    <w:rsid w:val="00CA2F66"/>
    <w:rsid w:val="00CA5BB2"/>
    <w:rsid w:val="00CB7938"/>
    <w:rsid w:val="00CC28E3"/>
    <w:rsid w:val="00CC4E1D"/>
    <w:rsid w:val="00CD2049"/>
    <w:rsid w:val="00CD2716"/>
    <w:rsid w:val="00CD6DC7"/>
    <w:rsid w:val="00CE30C0"/>
    <w:rsid w:val="00CE6DEB"/>
    <w:rsid w:val="00D010CB"/>
    <w:rsid w:val="00D03B83"/>
    <w:rsid w:val="00D05BD7"/>
    <w:rsid w:val="00D10385"/>
    <w:rsid w:val="00D1197C"/>
    <w:rsid w:val="00D1275D"/>
    <w:rsid w:val="00D25097"/>
    <w:rsid w:val="00D26D03"/>
    <w:rsid w:val="00D27F9C"/>
    <w:rsid w:val="00D32EFC"/>
    <w:rsid w:val="00D4017B"/>
    <w:rsid w:val="00D42E36"/>
    <w:rsid w:val="00D43843"/>
    <w:rsid w:val="00D45573"/>
    <w:rsid w:val="00D460D7"/>
    <w:rsid w:val="00D46FDB"/>
    <w:rsid w:val="00D50305"/>
    <w:rsid w:val="00D513E5"/>
    <w:rsid w:val="00D51E46"/>
    <w:rsid w:val="00D5328B"/>
    <w:rsid w:val="00D53897"/>
    <w:rsid w:val="00D605E1"/>
    <w:rsid w:val="00D61D05"/>
    <w:rsid w:val="00D62F51"/>
    <w:rsid w:val="00D63C11"/>
    <w:rsid w:val="00D63D03"/>
    <w:rsid w:val="00D646AF"/>
    <w:rsid w:val="00D65003"/>
    <w:rsid w:val="00D76419"/>
    <w:rsid w:val="00D841BC"/>
    <w:rsid w:val="00D9233B"/>
    <w:rsid w:val="00D94068"/>
    <w:rsid w:val="00DA0468"/>
    <w:rsid w:val="00DA1E9A"/>
    <w:rsid w:val="00DA2048"/>
    <w:rsid w:val="00DA4E34"/>
    <w:rsid w:val="00DA6042"/>
    <w:rsid w:val="00DA6A3A"/>
    <w:rsid w:val="00DA788E"/>
    <w:rsid w:val="00DB147B"/>
    <w:rsid w:val="00DB4D42"/>
    <w:rsid w:val="00DC0112"/>
    <w:rsid w:val="00DC262C"/>
    <w:rsid w:val="00DD0706"/>
    <w:rsid w:val="00DE0320"/>
    <w:rsid w:val="00DE17DE"/>
    <w:rsid w:val="00DF32B9"/>
    <w:rsid w:val="00DF5DDE"/>
    <w:rsid w:val="00DF70AE"/>
    <w:rsid w:val="00E03245"/>
    <w:rsid w:val="00E03936"/>
    <w:rsid w:val="00E15D17"/>
    <w:rsid w:val="00E15DC6"/>
    <w:rsid w:val="00E17082"/>
    <w:rsid w:val="00E17C00"/>
    <w:rsid w:val="00E21921"/>
    <w:rsid w:val="00E25A88"/>
    <w:rsid w:val="00E32F83"/>
    <w:rsid w:val="00E346FE"/>
    <w:rsid w:val="00E436D3"/>
    <w:rsid w:val="00E43967"/>
    <w:rsid w:val="00E44E28"/>
    <w:rsid w:val="00E456B7"/>
    <w:rsid w:val="00E53B46"/>
    <w:rsid w:val="00E63A5E"/>
    <w:rsid w:val="00E64F72"/>
    <w:rsid w:val="00E75775"/>
    <w:rsid w:val="00E7745F"/>
    <w:rsid w:val="00E83025"/>
    <w:rsid w:val="00E834C5"/>
    <w:rsid w:val="00E84A38"/>
    <w:rsid w:val="00E858F4"/>
    <w:rsid w:val="00E90951"/>
    <w:rsid w:val="00E90AF2"/>
    <w:rsid w:val="00EA5440"/>
    <w:rsid w:val="00EA6727"/>
    <w:rsid w:val="00EA77A5"/>
    <w:rsid w:val="00EB1545"/>
    <w:rsid w:val="00EB26F5"/>
    <w:rsid w:val="00EB3C61"/>
    <w:rsid w:val="00EB506C"/>
    <w:rsid w:val="00EB5219"/>
    <w:rsid w:val="00EC29BE"/>
    <w:rsid w:val="00EC47CF"/>
    <w:rsid w:val="00EC5315"/>
    <w:rsid w:val="00EC6CA7"/>
    <w:rsid w:val="00ED37C8"/>
    <w:rsid w:val="00ED50E9"/>
    <w:rsid w:val="00ED752D"/>
    <w:rsid w:val="00ED7B3B"/>
    <w:rsid w:val="00EE1758"/>
    <w:rsid w:val="00EE6182"/>
    <w:rsid w:val="00EF0DE5"/>
    <w:rsid w:val="00EF33C7"/>
    <w:rsid w:val="00EF38C5"/>
    <w:rsid w:val="00EF4923"/>
    <w:rsid w:val="00EF7C0F"/>
    <w:rsid w:val="00F01A1E"/>
    <w:rsid w:val="00F01C3D"/>
    <w:rsid w:val="00F077CF"/>
    <w:rsid w:val="00F07867"/>
    <w:rsid w:val="00F1229F"/>
    <w:rsid w:val="00F12561"/>
    <w:rsid w:val="00F138CF"/>
    <w:rsid w:val="00F13A29"/>
    <w:rsid w:val="00F15428"/>
    <w:rsid w:val="00F17F02"/>
    <w:rsid w:val="00F259C0"/>
    <w:rsid w:val="00F25AC8"/>
    <w:rsid w:val="00F26D1A"/>
    <w:rsid w:val="00F30C12"/>
    <w:rsid w:val="00F313AA"/>
    <w:rsid w:val="00F32115"/>
    <w:rsid w:val="00F3431A"/>
    <w:rsid w:val="00F36ADA"/>
    <w:rsid w:val="00F36EB5"/>
    <w:rsid w:val="00F4128E"/>
    <w:rsid w:val="00F41F3E"/>
    <w:rsid w:val="00F43330"/>
    <w:rsid w:val="00F46276"/>
    <w:rsid w:val="00F500B1"/>
    <w:rsid w:val="00F52060"/>
    <w:rsid w:val="00F52721"/>
    <w:rsid w:val="00F52D09"/>
    <w:rsid w:val="00F552BD"/>
    <w:rsid w:val="00F626F3"/>
    <w:rsid w:val="00F62B50"/>
    <w:rsid w:val="00F7087F"/>
    <w:rsid w:val="00F729BE"/>
    <w:rsid w:val="00F8014D"/>
    <w:rsid w:val="00F84994"/>
    <w:rsid w:val="00F87719"/>
    <w:rsid w:val="00F92C94"/>
    <w:rsid w:val="00FA2159"/>
    <w:rsid w:val="00FA25E2"/>
    <w:rsid w:val="00FA4FAF"/>
    <w:rsid w:val="00FA6A52"/>
    <w:rsid w:val="00FB0411"/>
    <w:rsid w:val="00FB2295"/>
    <w:rsid w:val="00FB3A68"/>
    <w:rsid w:val="00FB5852"/>
    <w:rsid w:val="00FB66F6"/>
    <w:rsid w:val="00FB6C8A"/>
    <w:rsid w:val="00FC3E36"/>
    <w:rsid w:val="00FD3186"/>
    <w:rsid w:val="00FD4A6F"/>
    <w:rsid w:val="00FE14AA"/>
    <w:rsid w:val="00FE2173"/>
    <w:rsid w:val="00FE30A4"/>
    <w:rsid w:val="00FE4438"/>
    <w:rsid w:val="00FF09DB"/>
    <w:rsid w:val="00FF4314"/>
    <w:rsid w:val="00FF5378"/>
    <w:rsid w:val="01D32DCE"/>
    <w:rsid w:val="03A224A7"/>
    <w:rsid w:val="03C80A05"/>
    <w:rsid w:val="0E5F7A88"/>
    <w:rsid w:val="13E5621D"/>
    <w:rsid w:val="15EB7CFE"/>
    <w:rsid w:val="15F87801"/>
    <w:rsid w:val="1D2167B2"/>
    <w:rsid w:val="200857F6"/>
    <w:rsid w:val="29F71F41"/>
    <w:rsid w:val="2FA14C58"/>
    <w:rsid w:val="32605475"/>
    <w:rsid w:val="429670DC"/>
    <w:rsid w:val="49C66341"/>
    <w:rsid w:val="4E7C2164"/>
    <w:rsid w:val="54B85F4D"/>
    <w:rsid w:val="56F92CE9"/>
    <w:rsid w:val="5E906E2D"/>
    <w:rsid w:val="66854AC8"/>
    <w:rsid w:val="6D9A7251"/>
    <w:rsid w:val="74915A91"/>
    <w:rsid w:val="763F058C"/>
    <w:rsid w:val="79210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916"/>
  <w15:docId w15:val="{84DA507F-2A51-4ACD-BD53-442EE093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szCs w:val="24"/>
    </w:rPr>
  </w:style>
  <w:style w:type="paragraph" w:styleId="7">
    <w:name w:val="toc 7"/>
    <w:basedOn w:val="a"/>
    <w:next w:val="a"/>
    <w:autoRedefine/>
    <w:semiHidden/>
    <w:qFormat/>
    <w:pPr>
      <w:ind w:leftChars="1200" w:left="2520"/>
    </w:pPr>
    <w:rPr>
      <w:rFonts w:ascii="Times New Roman" w:eastAsia="宋体" w:hAnsi="Times New Roman" w:cs="Times New Roman"/>
      <w:szCs w:val="24"/>
    </w:rPr>
  </w:style>
  <w:style w:type="paragraph" w:styleId="a4">
    <w:name w:val="annotation text"/>
    <w:basedOn w:val="a"/>
    <w:link w:val="1"/>
    <w:qFormat/>
    <w:pPr>
      <w:jc w:val="left"/>
    </w:pPr>
    <w:rPr>
      <w:rFonts w:ascii="Times New Roman" w:eastAsia="宋体" w:hAnsi="Times New Roman" w:cs="Times New Roman"/>
      <w:szCs w:val="24"/>
    </w:rPr>
  </w:style>
  <w:style w:type="paragraph" w:styleId="a5">
    <w:name w:val="Body Text"/>
    <w:basedOn w:val="a"/>
    <w:link w:val="a6"/>
    <w:qFormat/>
    <w:pPr>
      <w:spacing w:line="360" w:lineRule="auto"/>
    </w:pPr>
    <w:rPr>
      <w:rFonts w:ascii="仿宋_GB2312" w:eastAsia="仿宋_GB2312" w:hAnsi="Times New Roman" w:cs="Times New Roman"/>
      <w:color w:val="000000"/>
      <w:kern w:val="0"/>
      <w:sz w:val="24"/>
      <w:szCs w:val="28"/>
    </w:rPr>
  </w:style>
  <w:style w:type="paragraph" w:styleId="a7">
    <w:name w:val="Body Text Indent"/>
    <w:basedOn w:val="a"/>
    <w:link w:val="a8"/>
    <w:qFormat/>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autoRedefine/>
    <w:semiHidden/>
    <w:qFormat/>
    <w:pPr>
      <w:ind w:leftChars="800" w:left="1680"/>
    </w:pPr>
    <w:rPr>
      <w:rFonts w:ascii="Times New Roman" w:eastAsia="宋体" w:hAnsi="Times New Roman" w:cs="Times New Roman"/>
      <w:szCs w:val="24"/>
    </w:rPr>
  </w:style>
  <w:style w:type="paragraph" w:styleId="3">
    <w:name w:val="toc 3"/>
    <w:basedOn w:val="a"/>
    <w:next w:val="a"/>
    <w:autoRedefine/>
    <w:semiHidden/>
    <w:qFormat/>
    <w:pPr>
      <w:ind w:leftChars="400" w:left="840"/>
    </w:pPr>
    <w:rPr>
      <w:rFonts w:ascii="Times New Roman" w:eastAsia="宋体" w:hAnsi="Times New Roman" w:cs="Times New Roman"/>
      <w:szCs w:val="24"/>
    </w:rPr>
  </w:style>
  <w:style w:type="paragraph" w:styleId="8">
    <w:name w:val="toc 8"/>
    <w:basedOn w:val="a"/>
    <w:next w:val="a"/>
    <w:autoRedefine/>
    <w:semiHidden/>
    <w:qFormat/>
    <w:pPr>
      <w:ind w:leftChars="1400" w:left="2940"/>
    </w:pPr>
    <w:rPr>
      <w:rFonts w:ascii="Times New Roman" w:eastAsia="宋体" w:hAnsi="Times New Roman" w:cs="Times New Roman"/>
      <w:szCs w:val="24"/>
    </w:rPr>
  </w:style>
  <w:style w:type="paragraph" w:styleId="21">
    <w:name w:val="Body Text Indent 2"/>
    <w:basedOn w:val="a"/>
    <w:link w:val="22"/>
    <w:qFormat/>
    <w:pPr>
      <w:spacing w:line="360" w:lineRule="auto"/>
      <w:ind w:firstLine="525"/>
    </w:pPr>
    <w:rPr>
      <w:rFonts w:ascii="宋体" w:eastAsia="宋体" w:hAnsi="宋体" w:cs="Times New Roman"/>
      <w:sz w:val="28"/>
      <w:szCs w:val="20"/>
    </w:rPr>
  </w:style>
  <w:style w:type="paragraph" w:styleId="a9">
    <w:name w:val="Balloon Text"/>
    <w:basedOn w:val="a"/>
    <w:link w:val="aa"/>
    <w:semiHidden/>
    <w:qFormat/>
    <w:rPr>
      <w:rFonts w:ascii="Times New Roman" w:eastAsia="宋体" w:hAnsi="Times New Roman" w:cs="Times New Roman"/>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semiHidden/>
    <w:qFormat/>
    <w:rPr>
      <w:rFonts w:ascii="Times New Roman" w:eastAsia="宋体" w:hAnsi="Times New Roman" w:cs="Times New Roman"/>
      <w:szCs w:val="24"/>
    </w:rPr>
  </w:style>
  <w:style w:type="paragraph" w:styleId="4">
    <w:name w:val="toc 4"/>
    <w:basedOn w:val="a"/>
    <w:next w:val="a"/>
    <w:autoRedefine/>
    <w:semiHidden/>
    <w:qFormat/>
    <w:pPr>
      <w:ind w:leftChars="600" w:left="1260"/>
    </w:pPr>
    <w:rPr>
      <w:rFonts w:ascii="Times New Roman" w:eastAsia="宋体" w:hAnsi="Times New Roman" w:cs="Times New Roman"/>
      <w:szCs w:val="24"/>
    </w:rPr>
  </w:style>
  <w:style w:type="paragraph" w:styleId="6">
    <w:name w:val="toc 6"/>
    <w:basedOn w:val="a"/>
    <w:next w:val="a"/>
    <w:autoRedefine/>
    <w:semiHidden/>
    <w:qFormat/>
    <w:pPr>
      <w:ind w:leftChars="1000" w:left="2100"/>
    </w:pPr>
    <w:rPr>
      <w:rFonts w:ascii="Times New Roman" w:eastAsia="宋体" w:hAnsi="Times New Roman" w:cs="Times New Roman"/>
      <w:szCs w:val="24"/>
    </w:r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szCs w:val="24"/>
    </w:rPr>
  </w:style>
  <w:style w:type="paragraph" w:styleId="23">
    <w:name w:val="toc 2"/>
    <w:basedOn w:val="a"/>
    <w:next w:val="a"/>
    <w:autoRedefine/>
    <w:semiHidden/>
    <w:qFormat/>
    <w:pPr>
      <w:tabs>
        <w:tab w:val="right" w:leader="dot" w:pos="8494"/>
      </w:tabs>
      <w:ind w:leftChars="200" w:left="420"/>
    </w:pPr>
    <w:rPr>
      <w:rFonts w:ascii="Times New Roman" w:eastAsia="宋体" w:hAnsi="Times New Roman" w:cs="Times New Roman"/>
      <w:szCs w:val="24"/>
    </w:rPr>
  </w:style>
  <w:style w:type="paragraph" w:styleId="9">
    <w:name w:val="toc 9"/>
    <w:basedOn w:val="a"/>
    <w:next w:val="a"/>
    <w:autoRedefine/>
    <w:semiHidden/>
    <w:qFormat/>
    <w:pPr>
      <w:ind w:leftChars="1600" w:left="3360"/>
    </w:pPr>
    <w:rPr>
      <w:rFonts w:ascii="Times New Roman" w:eastAsia="宋体" w:hAnsi="Times New Roman" w:cs="Times New Roman"/>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0">
    <w:name w:val="annotation subject"/>
    <w:basedOn w:val="a4"/>
    <w:next w:val="a4"/>
    <w:link w:val="af1"/>
    <w:qFormat/>
    <w:rPr>
      <w:b/>
      <w:bCs/>
    </w:rPr>
  </w:style>
  <w:style w:type="character" w:styleId="af2">
    <w:name w:val="Strong"/>
    <w:qFormat/>
    <w:rPr>
      <w:b/>
      <w:bCs/>
    </w:rPr>
  </w:style>
  <w:style w:type="character" w:styleId="af3">
    <w:name w:val="page number"/>
    <w:basedOn w:val="a1"/>
    <w:qFormat/>
  </w:style>
  <w:style w:type="character" w:styleId="af4">
    <w:name w:val="FollowedHyperlink"/>
    <w:basedOn w:val="a1"/>
    <w:uiPriority w:val="99"/>
    <w:semiHidden/>
    <w:unhideWhenUsed/>
    <w:qFormat/>
    <w:rPr>
      <w:color w:val="954F72" w:themeColor="followedHyperlink"/>
      <w:u w:val="single"/>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20">
    <w:name w:val="标题 2 字符"/>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6">
    <w:name w:val="正文文本 字符"/>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8">
    <w:name w:val="正文文本缩进 字符"/>
    <w:basedOn w:val="a1"/>
    <w:link w:val="a7"/>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1">
    <w:name w:val="正文文本缩进 3 字符"/>
    <w:basedOn w:val="a1"/>
    <w:link w:val="30"/>
    <w:qFormat/>
    <w:rPr>
      <w:rFonts w:ascii="仿宋_GB2312" w:eastAsia="仿宋_GB2312" w:hAnsi="宋体" w:cs="Arial"/>
      <w:color w:val="000000"/>
      <w:sz w:val="24"/>
      <w:szCs w:val="24"/>
    </w:rPr>
  </w:style>
  <w:style w:type="character" w:customStyle="1" w:styleId="aa">
    <w:name w:val="批注框文本 字符"/>
    <w:basedOn w:val="a1"/>
    <w:link w:val="a9"/>
    <w:semiHidden/>
    <w:qFormat/>
    <w:rPr>
      <w:rFonts w:ascii="Times New Roman" w:eastAsia="宋体" w:hAnsi="Times New Roman" w:cs="Times New Roman"/>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Char1">
    <w:name w:val="Char1"/>
    <w:basedOn w:val="a"/>
    <w:autoRedefine/>
    <w:qFormat/>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1">
    <w:name w:val="批注文字 字符1"/>
    <w:basedOn w:val="a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qFormat/>
    <w:rPr>
      <w:rFonts w:ascii="Times New Roman" w:eastAsia="宋体" w:hAnsi="Times New Roman" w:cs="Times New Roman"/>
      <w:szCs w:val="20"/>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1">
    <w:name w:val="批注主题 字符"/>
    <w:basedOn w:val="1"/>
    <w:link w:val="af0"/>
    <w:qFormat/>
    <w:rPr>
      <w:rFonts w:ascii="Times New Roman" w:eastAsia="宋体" w:hAnsi="Times New Roman" w:cs="Times New Roman"/>
      <w:b/>
      <w:bCs/>
      <w:szCs w:val="24"/>
    </w:rPr>
  </w:style>
  <w:style w:type="paragraph" w:customStyle="1" w:styleId="11">
    <w:name w:val="1"/>
    <w:uiPriority w:val="99"/>
    <w:unhideWhenUsed/>
    <w:qFormat/>
    <w:pPr>
      <w:widowControl w:val="0"/>
      <w:jc w:val="both"/>
    </w:pPr>
    <w:rPr>
      <w:kern w:val="2"/>
      <w:sz w:val="21"/>
      <w:szCs w:val="22"/>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CharChar1">
    <w:name w:val="Char Char1"/>
    <w:basedOn w:val="a"/>
    <w:qFormat/>
    <w:rPr>
      <w:rFonts w:ascii="Times New Roman" w:eastAsia="宋体" w:hAnsi="Times New Roman" w:cs="Times New Roman"/>
      <w:szCs w:val="20"/>
    </w:rPr>
  </w:style>
  <w:style w:type="character" w:customStyle="1" w:styleId="Char0">
    <w:name w:val="批注文字 Char"/>
    <w:qFormat/>
    <w:rPr>
      <w:rFonts w:ascii="Times New Roman" w:eastAsia="宋体" w:hAnsi="Times New Roman" w:cs="Times New Roman"/>
      <w:szCs w:val="24"/>
    </w:rPr>
  </w:style>
  <w:style w:type="character" w:customStyle="1" w:styleId="2Char">
    <w:name w:val="标题 2 Char"/>
    <w:qFormat/>
    <w:rPr>
      <w:rFonts w:ascii="Arial" w:eastAsia="黑体" w:hAnsi="Arial" w:cs="Times New Roman"/>
      <w:b/>
      <w:sz w:val="32"/>
      <w:szCs w:val="20"/>
    </w:rPr>
  </w:style>
  <w:style w:type="paragraph" w:customStyle="1" w:styleId="CharChar2">
    <w:name w:val="Char Char2"/>
    <w:basedOn w:val="a"/>
    <w:qFormat/>
    <w:rPr>
      <w:rFonts w:ascii="Times New Roman" w:eastAsia="宋体" w:hAnsi="Times New Roman" w:cs="Times New Roman"/>
      <w:szCs w:val="20"/>
    </w:rPr>
  </w:style>
  <w:style w:type="character" w:customStyle="1" w:styleId="af7">
    <w:name w:val="批注文字 字符"/>
    <w:qFormat/>
    <w:rPr>
      <w:kern w:val="2"/>
      <w:sz w:val="21"/>
    </w:rPr>
  </w:style>
  <w:style w:type="paragraph" w:customStyle="1" w:styleId="24">
    <w:name w:val="修订2"/>
    <w:hidden/>
    <w:uiPriority w:val="99"/>
    <w:semiHidden/>
    <w:qFormat/>
    <w:rPr>
      <w:kern w:val="2"/>
      <w:sz w:val="21"/>
      <w:szCs w:val="22"/>
    </w:rPr>
  </w:style>
  <w:style w:type="character" w:customStyle="1" w:styleId="Char2">
    <w:name w:val="批注文字 Char2"/>
    <w:qFormat/>
    <w:rPr>
      <w:kern w:val="2"/>
      <w:sz w:val="21"/>
    </w:rPr>
  </w:style>
  <w:style w:type="paragraph" w:customStyle="1" w:styleId="CharChar3">
    <w:name w:val="Char Char3"/>
    <w:basedOn w:val="a"/>
    <w:qFormat/>
    <w:rPr>
      <w:rFonts w:ascii="Times New Roman" w:eastAsia="宋体" w:hAnsi="Times New Roman" w:cs="Times New Roman"/>
      <w:szCs w:val="20"/>
    </w:rPr>
  </w:style>
  <w:style w:type="paragraph" w:customStyle="1" w:styleId="CharChar4">
    <w:name w:val="Char Char4"/>
    <w:basedOn w:val="a"/>
    <w:qFormat/>
    <w:rPr>
      <w:rFonts w:ascii="Times New Roman" w:eastAsia="宋体" w:hAnsi="Times New Roman" w:cs="Times New Roman"/>
      <w:szCs w:val="20"/>
    </w:rPr>
  </w:style>
  <w:style w:type="paragraph" w:customStyle="1" w:styleId="32">
    <w:name w:val="修订3"/>
    <w:hidden/>
    <w:uiPriority w:val="99"/>
    <w:semiHidden/>
    <w:qFormat/>
    <w:rPr>
      <w:kern w:val="2"/>
      <w:sz w:val="21"/>
      <w:szCs w:val="22"/>
    </w:rPr>
  </w:style>
  <w:style w:type="paragraph" w:customStyle="1" w:styleId="CharChar5">
    <w:name w:val="Char Char5"/>
    <w:basedOn w:val="a"/>
    <w:qFormat/>
    <w:rPr>
      <w:rFonts w:ascii="Times New Roman" w:eastAsia="宋体" w:hAnsi="Times New Roman" w:cs="Times New Roman"/>
      <w:szCs w:val="20"/>
    </w:rPr>
  </w:style>
  <w:style w:type="paragraph" w:customStyle="1" w:styleId="CharChar6">
    <w:name w:val="Char Char6"/>
    <w:basedOn w:val="a"/>
    <w:qFormat/>
    <w:rPr>
      <w:rFonts w:ascii="Times New Roman" w:eastAsia="宋体" w:hAnsi="Times New Roman" w:cs="Times New Roman"/>
      <w:szCs w:val="20"/>
    </w:rPr>
  </w:style>
  <w:style w:type="paragraph" w:customStyle="1" w:styleId="40">
    <w:name w:val="修订4"/>
    <w:hidden/>
    <w:uiPriority w:val="99"/>
    <w:semiHidden/>
    <w:qFormat/>
    <w:rPr>
      <w:kern w:val="2"/>
      <w:sz w:val="21"/>
      <w:szCs w:val="22"/>
    </w:rPr>
  </w:style>
  <w:style w:type="paragraph" w:customStyle="1" w:styleId="CharChar7">
    <w:name w:val="Char Char7"/>
    <w:basedOn w:val="a"/>
    <w:qFormat/>
    <w:rPr>
      <w:rFonts w:ascii="Times New Roman" w:eastAsia="宋体" w:hAnsi="Times New Roman" w:cs="Times New Roman"/>
      <w:szCs w:val="20"/>
    </w:rPr>
  </w:style>
  <w:style w:type="paragraph" w:styleId="af8">
    <w:name w:val="Revision"/>
    <w:hidden/>
    <w:uiPriority w:val="99"/>
    <w:semiHidden/>
    <w:rsid w:val="002F36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4481-E6B4-4229-9B8E-0C077D34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5459</Words>
  <Characters>31118</Characters>
  <Application>Microsoft Office Word</Application>
  <DocSecurity>0</DocSecurity>
  <Lines>259</Lines>
  <Paragraphs>73</Paragraphs>
  <ScaleCrop>false</ScaleCrop>
  <Company>神州网信技术有限公司</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陈婷婷</dc:creator>
  <cp:lastModifiedBy>付齐越</cp:lastModifiedBy>
  <cp:revision>108</cp:revision>
  <cp:lastPrinted>2024-03-04T08:21:00Z</cp:lastPrinted>
  <dcterms:created xsi:type="dcterms:W3CDTF">2026-04-07T01:29:00Z</dcterms:created>
  <dcterms:modified xsi:type="dcterms:W3CDTF">2026-06-02T05:14:00Z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eyJoZGlkIjoiZmVhYTE0MTJhMGJkOGU3YzBiOGFiYTlhMGFmMDNhZmYiLCJ1c2VySWQiOiI4OTUyODYyNjEifQ==</vt:lpwstr>
  </property>
  <property fmtid="{D5CDD505-2E9C-101B-9397-08002B2CF9AE}" pid="3" name="KSOProductBuildVer">
    <vt:lpwstr>2052-12.1.0.25225</vt:lpwstr>
  </property>
  <property fmtid="{D5CDD505-2E9C-101B-9397-08002B2CF9AE}" pid="4" name="ICV">
    <vt:lpwstr>0DCAE969378E49C1865E19364E4F0A54_12</vt:lpwstr>
  </property>
</Properties>
</file>